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20" w:beforeLines="50" w:after="120" w:afterLines="50" w:line="240" w:lineRule="auto"/>
        <w:rPr>
          <w:rFonts w:ascii="Arial" w:hAnsi="Arial" w:cs="Arial"/>
          <w:b/>
          <w:bCs/>
        </w:rPr>
      </w:pPr>
      <w:r>
        <w:rPr>
          <w:rFonts w:ascii="Arial" w:hAnsi="Arial" w:cs="Arial"/>
          <w:b/>
          <w:bCs/>
        </w:rPr>
        <w:t>3GPP TSG RAN WG1 #122</w:t>
      </w:r>
      <w:r>
        <w:rPr>
          <w:rFonts w:ascii="Arial" w:hAnsi="Arial" w:cs="Arial"/>
          <w:b/>
          <w:bCs/>
        </w:rPr>
        <w:tab/>
      </w:r>
      <w:r>
        <w:rPr>
          <w:rFonts w:ascii="Arial" w:hAnsi="Arial" w:cs="Arial"/>
          <w:b/>
          <w:bCs/>
        </w:rPr>
        <w:t xml:space="preserve">                                                                                     R1-2505492                                                                                                                                                 </w:t>
      </w:r>
    </w:p>
    <w:p>
      <w:pPr>
        <w:snapToGrid w:val="0"/>
        <w:spacing w:before="120" w:beforeLines="50" w:after="120" w:afterLines="50" w:line="240" w:lineRule="auto"/>
        <w:rPr>
          <w:rFonts w:ascii="Arial" w:hAnsi="Arial" w:cs="Arial"/>
          <w:b/>
          <w:bCs/>
        </w:rPr>
      </w:pPr>
      <w:r>
        <w:rPr>
          <w:rFonts w:ascii="Arial" w:hAnsi="Arial" w:cs="Arial"/>
          <w:b/>
          <w:bCs/>
          <w:lang w:eastAsia="ja-JP"/>
        </w:rPr>
        <w:t>Bengaluru, India, Aug 25</w:t>
      </w:r>
      <w:r>
        <w:rPr>
          <w:rFonts w:ascii="Arial" w:hAnsi="Arial" w:cs="Arial"/>
          <w:b/>
          <w:bCs/>
          <w:vertAlign w:val="superscript"/>
          <w:lang w:eastAsia="ja-JP"/>
        </w:rPr>
        <w:t>th</w:t>
      </w:r>
      <w:r>
        <w:rPr>
          <w:rFonts w:ascii="Arial" w:hAnsi="Arial" w:cs="Arial"/>
          <w:b/>
          <w:bCs/>
          <w:lang w:eastAsia="ja-JP"/>
        </w:rPr>
        <w:t xml:space="preserve"> – 29</w:t>
      </w:r>
      <w:r>
        <w:rPr>
          <w:rFonts w:ascii="Arial" w:hAnsi="Arial" w:cs="Arial"/>
          <w:b/>
          <w:bCs/>
          <w:vertAlign w:val="superscript"/>
          <w:lang w:eastAsia="ja-JP"/>
        </w:rPr>
        <w:t>th</w:t>
      </w:r>
      <w:r>
        <w:rPr>
          <w:rFonts w:ascii="Arial" w:hAnsi="Arial" w:cs="Arial"/>
          <w:b/>
          <w:bCs/>
          <w:lang w:eastAsia="ja-JP"/>
        </w:rPr>
        <w:t>, 2025</w:t>
      </w:r>
    </w:p>
    <w:p>
      <w:pPr>
        <w:spacing w:before="120" w:beforeLines="50" w:after="120" w:afterLines="50" w:line="240" w:lineRule="auto"/>
        <w:ind w:left="1985" w:hanging="1985"/>
        <w:jc w:val="both"/>
        <w:rPr>
          <w:rFonts w:ascii="Arial" w:hAnsi="Arial" w:eastAsia="Times New Roman" w:cs="Arial"/>
          <w:b/>
          <w:kern w:val="2"/>
        </w:rPr>
      </w:pPr>
    </w:p>
    <w:p>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Agenda item:</w:t>
      </w:r>
      <w:r>
        <w:rPr>
          <w:rFonts w:ascii="Arial" w:hAnsi="Arial" w:eastAsia="Times New Roman" w:cs="Arial"/>
          <w:b/>
          <w:kern w:val="2"/>
        </w:rPr>
        <w:tab/>
      </w:r>
      <w:r>
        <w:rPr>
          <w:rFonts w:hint="eastAsia" w:ascii="Arial" w:hAnsi="Arial" w:cs="Arial"/>
          <w:b/>
          <w:kern w:val="2"/>
        </w:rPr>
        <w:t>10.1</w:t>
      </w:r>
      <w:r>
        <w:rPr>
          <w:rFonts w:ascii="Arial" w:hAnsi="Arial" w:eastAsia="Times New Roman" w:cs="Arial"/>
          <w:b/>
          <w:kern w:val="2"/>
        </w:rPr>
        <w:t>.</w:t>
      </w:r>
      <w:r>
        <w:rPr>
          <w:rFonts w:hint="eastAsia" w:ascii="Arial" w:hAnsi="Arial" w:cs="Arial"/>
          <w:b/>
          <w:kern w:val="2"/>
        </w:rPr>
        <w:t>1.2</w:t>
      </w:r>
    </w:p>
    <w:p>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Title:</w:t>
      </w:r>
      <w:r>
        <w:rPr>
          <w:rFonts w:ascii="Arial" w:hAnsi="Arial" w:eastAsia="Times New Roman" w:cs="Arial"/>
          <w:b/>
          <w:kern w:val="2"/>
        </w:rPr>
        <w:tab/>
      </w:r>
      <w:r>
        <w:rPr>
          <w:rFonts w:hint="eastAsia" w:ascii="Arial" w:hAnsi="Arial" w:cs="Arial"/>
          <w:b/>
          <w:kern w:val="2"/>
        </w:rPr>
        <w:t xml:space="preserve">Discussion on other aspects of CSI compression </w:t>
      </w:r>
    </w:p>
    <w:p>
      <w:pPr>
        <w:spacing w:before="120" w:beforeLines="50" w:after="120" w:afterLines="50" w:line="240" w:lineRule="auto"/>
        <w:ind w:left="1985" w:hanging="1985"/>
        <w:jc w:val="both"/>
        <w:rPr>
          <w:rFonts w:hint="default" w:ascii="Arial" w:hAnsi="Arial" w:eastAsia="宋体" w:cs="Arial"/>
          <w:b/>
          <w:kern w:val="2"/>
          <w:lang w:val="en-US" w:eastAsia="zh-CN"/>
        </w:rPr>
      </w:pPr>
      <w:r>
        <w:rPr>
          <w:rFonts w:ascii="Arial" w:hAnsi="Arial" w:eastAsia="Times New Roman" w:cs="Arial"/>
          <w:b/>
          <w:kern w:val="2"/>
        </w:rPr>
        <w:t>Source:</w:t>
      </w:r>
      <w:r>
        <w:rPr>
          <w:rFonts w:ascii="Arial" w:hAnsi="Arial" w:eastAsia="Times New Roman" w:cs="Arial"/>
          <w:b/>
          <w:kern w:val="2"/>
        </w:rPr>
        <w:tab/>
      </w:r>
      <w:r>
        <w:rPr>
          <w:rFonts w:ascii="Arial" w:hAnsi="Arial" w:eastAsia="Times New Roman" w:cs="Arial"/>
          <w:b/>
          <w:kern w:val="2"/>
        </w:rPr>
        <w:t>ZTE Corporation</w:t>
      </w:r>
      <w:r>
        <w:rPr>
          <w:rFonts w:hint="eastAsia" w:ascii="Arial" w:hAnsi="Arial" w:cs="Arial"/>
          <w:b/>
          <w:kern w:val="2"/>
          <w:lang w:val="en-US" w:eastAsia="zh-CN"/>
        </w:rPr>
        <w:t>, Sanechips</w:t>
      </w:r>
    </w:p>
    <w:p>
      <w:pPr>
        <w:spacing w:before="120" w:beforeLines="50" w:after="120" w:afterLines="50" w:line="240" w:lineRule="auto"/>
        <w:ind w:left="1985" w:hanging="1985"/>
        <w:jc w:val="both"/>
        <w:rPr>
          <w:rFonts w:ascii="Arial" w:hAnsi="Arial" w:eastAsia="Times New Roman" w:cs="Arial"/>
          <w:b/>
          <w:kern w:val="2"/>
        </w:rPr>
      </w:pPr>
      <w:r>
        <w:rPr>
          <w:rFonts w:ascii="Arial" w:hAnsi="Arial" w:eastAsia="Times New Roman" w:cs="Arial"/>
          <w:b/>
          <w:kern w:val="2"/>
        </w:rPr>
        <w:t>Document for:</w:t>
      </w:r>
      <w:r>
        <w:rPr>
          <w:rFonts w:ascii="Arial" w:hAnsi="Arial" w:eastAsia="Times New Roman" w:cs="Arial"/>
          <w:b/>
          <w:kern w:val="2"/>
        </w:rPr>
        <w:tab/>
      </w:r>
      <w:r>
        <w:rPr>
          <w:rFonts w:ascii="Arial" w:hAnsi="Arial" w:eastAsia="Times New Roman" w:cs="Arial"/>
          <w:b/>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GB"/>
        </w:rPr>
      </w:pPr>
      <w:r>
        <w:rPr>
          <w:rFonts w:hint="eastAsia" w:eastAsia="Arial Unicode MS"/>
          <w:b w:val="0"/>
          <w:bCs w:val="0"/>
          <w:kern w:val="2"/>
          <w:sz w:val="32"/>
          <w:szCs w:val="20"/>
          <w:lang w:val="en-US"/>
        </w:rPr>
        <w:t>Introduction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During the RAN#108 meeting, a new work item description focusing on AI/ML for NR air interface enhancements gained approval [1]. This work item description outlines normative work of Rel-20 </w:t>
      </w:r>
      <w:r>
        <w:rPr>
          <w:rFonts w:hint="eastAsia"/>
          <w:sz w:val="20"/>
          <w:szCs w:val="20"/>
        </w:rPr>
        <w:t xml:space="preserve">for CSI spatial/frequency compression without temporal aspects, </w:t>
      </w:r>
      <w:r>
        <w:rPr>
          <w:rFonts w:hint="eastAsia" w:eastAsia="Times New Roman"/>
          <w:sz w:val="20"/>
          <w:szCs w:val="20"/>
        </w:rPr>
        <w:t>as shown in the following table. Notably, 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 Specifically, the normative work of Rel-20 encompasses specification</w:t>
      </w:r>
      <w:r>
        <w:rPr>
          <w:rFonts w:hint="eastAsia"/>
          <w:sz w:val="20"/>
          <w:szCs w:val="20"/>
        </w:rPr>
        <w:t xml:space="preserve"> enhancement</w:t>
      </w:r>
      <w:r>
        <w:rPr>
          <w:rFonts w:hint="eastAsia" w:eastAsia="Times New Roman"/>
          <w:sz w:val="20"/>
          <w:szCs w:val="20"/>
        </w:rPr>
        <w:t xml:space="preserve">s for facilitating LCM operations specific to AI/ML CSI feedback including model pairing, inference, training data collection, and performance monitoring. In this contribution, we provide our analysis and proposals on </w:t>
      </w:r>
      <w:r>
        <w:rPr>
          <w:rFonts w:hint="eastAsia"/>
          <w:sz w:val="20"/>
          <w:szCs w:val="20"/>
        </w:rPr>
        <w:t>other</w:t>
      </w:r>
      <w:r>
        <w:rPr>
          <w:rFonts w:hint="eastAsia" w:eastAsia="Times New Roman"/>
          <w:sz w:val="20"/>
          <w:szCs w:val="20"/>
        </w:rPr>
        <w:t xml:space="preserve"> aspects of AI/ML CSI feedback enhancement.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center"/>
              <w:rPr>
                <w:color w:val="FF0000"/>
                <w:sz w:val="20"/>
                <w:szCs w:val="20"/>
              </w:rPr>
            </w:pPr>
            <w:r>
              <w:rPr>
                <w:color w:val="FF0000"/>
                <w:sz w:val="20"/>
                <w:szCs w:val="20"/>
              </w:rPr>
              <w:t>&lt;omitted text&gt;</w:t>
            </w:r>
          </w:p>
          <w:p>
            <w:pPr>
              <w:overflowPunct w:val="0"/>
              <w:autoSpaceDE w:val="0"/>
              <w:autoSpaceDN w:val="0"/>
              <w:adjustRightInd w:val="0"/>
              <w:snapToGrid w:val="0"/>
              <w:spacing w:before="72" w:beforeLines="30" w:after="72" w:afterLines="30" w:line="288" w:lineRule="auto"/>
              <w:textAlignment w:val="baseline"/>
              <w:rPr>
                <w:rFonts w:eastAsia="Times New Roman"/>
                <w:bCs/>
                <w:sz w:val="20"/>
                <w:szCs w:val="20"/>
                <w:lang w:eastAsia="en-GB"/>
              </w:rPr>
            </w:pPr>
            <w:r>
              <w:rPr>
                <w:rFonts w:eastAsia="Times New Roman"/>
                <w:b/>
                <w:sz w:val="20"/>
                <w:szCs w:val="20"/>
                <w:lang w:eastAsia="en-GB"/>
              </w:rPr>
              <w:t>CSI feedback enhancement</w:t>
            </w:r>
            <w:r>
              <w:rPr>
                <w:rFonts w:eastAsia="Times New Roman"/>
                <w:bCs/>
                <w:sz w:val="20"/>
                <w:szCs w:val="20"/>
                <w:lang w:eastAsia="en-GB"/>
              </w:rPr>
              <w:t>, encompassing (two-sided model) [RAN1, RAN2]:</w:t>
            </w:r>
          </w:p>
          <w:p>
            <w:pPr>
              <w:numPr>
                <w:ilvl w:val="0"/>
                <w:numId w:val="11"/>
              </w:numPr>
              <w:overflowPunct w:val="0"/>
              <w:autoSpaceDE w:val="0"/>
              <w:autoSpaceDN w:val="0"/>
              <w:adjustRightInd w:val="0"/>
              <w:snapToGrid w:val="0"/>
              <w:spacing w:before="72" w:beforeLines="30" w:after="72" w:afterLines="30" w:line="288" w:lineRule="auto"/>
              <w:contextualSpacing/>
              <w:textAlignment w:val="baseline"/>
              <w:rPr>
                <w:rFonts w:eastAsia="Times New Roman"/>
                <w:bCs/>
                <w:sz w:val="20"/>
                <w:szCs w:val="20"/>
                <w:lang w:eastAsia="en-GB"/>
              </w:rPr>
            </w:pPr>
            <w:r>
              <w:rPr>
                <w:rFonts w:eastAsia="Times New Roman"/>
                <w:bCs/>
                <w:sz w:val="20"/>
                <w:szCs w:val="20"/>
                <w:lang w:eastAsia="en-GB"/>
              </w:rPr>
              <w:t xml:space="preserve">CSI spatial/frequency compression without temporal aspects (“Case 0”), </w:t>
            </w:r>
          </w:p>
          <w:p>
            <w:pPr>
              <w:numPr>
                <w:ilvl w:val="0"/>
                <w:numId w:val="11"/>
              </w:numPr>
              <w:overflowPunct w:val="0"/>
              <w:autoSpaceDE w:val="0"/>
              <w:autoSpaceDN w:val="0"/>
              <w:adjustRightInd w:val="0"/>
              <w:snapToGrid w:val="0"/>
              <w:spacing w:before="72" w:beforeLines="30" w:after="72" w:afterLines="30" w:line="288" w:lineRule="auto"/>
              <w:contextualSpacing/>
              <w:textAlignment w:val="baseline"/>
              <w:rPr>
                <w:rFonts w:eastAsia="Times New Roman"/>
                <w:bCs/>
                <w:sz w:val="20"/>
                <w:szCs w:val="20"/>
                <w:lang w:eastAsia="en-GB"/>
              </w:rPr>
            </w:pPr>
            <w:r>
              <w:rPr>
                <w:rFonts w:eastAsia="Times New Roman"/>
                <w:bCs/>
                <w:sz w:val="20"/>
                <w:szCs w:val="20"/>
                <w:lang w:eastAsia="en-GB"/>
              </w:rPr>
              <w:t>Specify necessary signalling/mechanism(s) as per the identified potential specification impacts in FS_NR_AIML_Air , including:</w:t>
            </w:r>
          </w:p>
          <w:p>
            <w:pPr>
              <w:widowControl w:val="0"/>
              <w:numPr>
                <w:ilvl w:val="1"/>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Model pairing procedure including ID and applicability reporting</w:t>
            </w:r>
          </w:p>
          <w:p>
            <w:pPr>
              <w:widowControl w:val="0"/>
              <w:numPr>
                <w:ilvl w:val="1"/>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pPr>
              <w:widowControl w:val="0"/>
              <w:numPr>
                <w:ilvl w:val="1"/>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NW and UE side data collection for training,</w:t>
            </w:r>
          </w:p>
          <w:p>
            <w:pPr>
              <w:widowControl w:val="0"/>
              <w:numPr>
                <w:ilvl w:val="2"/>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Target CSI format</w:t>
            </w:r>
          </w:p>
          <w:p>
            <w:pPr>
              <w:widowControl w:val="0"/>
              <w:numPr>
                <w:ilvl w:val="2"/>
                <w:numId w:val="12"/>
              </w:numPr>
              <w:autoSpaceDE w:val="0"/>
              <w:autoSpaceDN w:val="0"/>
              <w:adjustRightInd w:val="0"/>
              <w:snapToGrid w:val="0"/>
              <w:spacing w:before="72" w:beforeLines="30" w:after="72" w:afterLines="30" w:line="288" w:lineRule="auto"/>
              <w:jc w:val="both"/>
              <w:rPr>
                <w:bCs/>
                <w:iCs/>
                <w:sz w:val="20"/>
                <w:szCs w:val="20"/>
                <w:lang w:eastAsia="en-GB"/>
              </w:rPr>
            </w:pPr>
            <w:r>
              <w:rPr>
                <w:bCs/>
                <w:iCs/>
                <w:sz w:val="20"/>
                <w:szCs w:val="20"/>
                <w:lang w:eastAsia="en-GB"/>
              </w:rPr>
              <w:t>Note The framework defined in BM and CSI prediction use cases could be reused</w:t>
            </w:r>
          </w:p>
          <w:p>
            <w:pPr>
              <w:widowControl w:val="0"/>
              <w:numPr>
                <w:ilvl w:val="1"/>
                <w:numId w:val="12"/>
              </w:numPr>
              <w:autoSpaceDE w:val="0"/>
              <w:autoSpaceDN w:val="0"/>
              <w:adjustRightInd w:val="0"/>
              <w:snapToGrid w:val="0"/>
              <w:spacing w:before="72" w:beforeLines="30" w:after="72" w:afterLines="30" w:line="288" w:lineRule="auto"/>
              <w:jc w:val="both"/>
              <w:rPr>
                <w:bCs/>
                <w:iCs/>
                <w:sz w:val="20"/>
                <w:szCs w:val="20"/>
                <w:lang w:val="en-GB" w:eastAsia="en-GB"/>
              </w:rPr>
            </w:pPr>
            <w:r>
              <w:rPr>
                <w:bCs/>
                <w:iCs/>
                <w:sz w:val="20"/>
                <w:szCs w:val="20"/>
                <w:lang w:eastAsia="en-GB"/>
              </w:rPr>
              <w:t xml:space="preserve">Specify performance monitoring </w:t>
            </w:r>
          </w:p>
          <w:p>
            <w:pPr>
              <w:snapToGrid w:val="0"/>
              <w:spacing w:before="72" w:beforeLines="30" w:after="72" w:afterLines="30" w:line="288" w:lineRule="auto"/>
              <w:jc w:val="center"/>
              <w:rPr>
                <w:bCs/>
                <w:iCs/>
                <w:sz w:val="20"/>
                <w:szCs w:val="20"/>
                <w:lang w:val="en-GB" w:eastAsia="en-GB"/>
              </w:rPr>
            </w:pPr>
            <w:r>
              <w:rPr>
                <w:color w:val="FF0000"/>
                <w:sz w:val="20"/>
                <w:szCs w:val="20"/>
              </w:rPr>
              <w:t>&lt;omitted text&gt;</w:t>
            </w:r>
          </w:p>
        </w:tc>
      </w:tr>
    </w:tbl>
    <w:p>
      <w:pPr>
        <w:snapToGrid w:val="0"/>
        <w:spacing w:before="72" w:beforeLines="30" w:after="72" w:afterLines="30" w:line="288" w:lineRule="auto"/>
        <w:jc w:val="both"/>
        <w:rPr>
          <w:i/>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sz w:val="20"/>
          <w:lang w:val="en-GB"/>
        </w:rPr>
      </w:pPr>
      <w:r>
        <w:rPr>
          <w:rFonts w:hint="eastAsia" w:eastAsia="Arial Unicode MS"/>
          <w:b w:val="0"/>
          <w:bCs w:val="0"/>
          <w:kern w:val="2"/>
          <w:sz w:val="32"/>
          <w:szCs w:val="20"/>
          <w:lang w:val="en-US"/>
        </w:rPr>
        <w:t xml:space="preserve">General views on AI/ML </w:t>
      </w:r>
      <w:r>
        <w:rPr>
          <w:rFonts w:eastAsia="Arial Unicode MS"/>
          <w:b w:val="0"/>
          <w:bCs w:val="0"/>
          <w:kern w:val="2"/>
          <w:sz w:val="32"/>
          <w:szCs w:val="20"/>
          <w:lang w:val="en-US"/>
        </w:rPr>
        <w:t>CSI feedback enhancement</w:t>
      </w:r>
    </w:p>
    <w:p>
      <w:pPr>
        <w:snapToGrid w:val="0"/>
        <w:spacing w:before="72" w:beforeLines="30" w:after="72" w:afterLines="30" w:line="288" w:lineRule="auto"/>
        <w:jc w:val="both"/>
        <w:rPr>
          <w:rFonts w:eastAsia="Times New Roman"/>
          <w:color w:val="000000"/>
          <w:sz w:val="24"/>
          <w:szCs w:val="24"/>
        </w:rPr>
      </w:pPr>
      <w:r>
        <w:rPr>
          <w:rFonts w:hint="eastAsia" w:eastAsia="Times New Roman"/>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A option 3a-1' without target CSI sharing), and standardized dataset format/content plus dataset exchange ('Direction A option 4-1'). Notably, the selection of inter-vendor training collaboration options </w:t>
      </w:r>
      <w:r>
        <w:rPr>
          <w:rFonts w:hint="eastAsia" w:eastAsia="Times New Roman"/>
          <w:sz w:val="20"/>
          <w:szCs w:val="20"/>
        </w:rPr>
        <w:t xml:space="preserve">may </w:t>
      </w:r>
      <w:r>
        <w:rPr>
          <w:rFonts w:hint="eastAsia" w:eastAsia="Times New Roman"/>
          <w:sz w:val="20"/>
          <w:szCs w:val="20"/>
          <w:lang w:val="en-GB"/>
        </w:rPr>
        <w:t xml:space="preserve">directly impact the discussions on the </w:t>
      </w:r>
      <w:r>
        <w:rPr>
          <w:rFonts w:hint="eastAsia" w:eastAsia="Times New Roman"/>
          <w:sz w:val="20"/>
          <w:szCs w:val="20"/>
        </w:rPr>
        <w:t>other</w:t>
      </w:r>
      <w:r>
        <w:rPr>
          <w:rFonts w:hint="eastAsia" w:eastAsia="Times New Roman"/>
          <w:sz w:val="20"/>
          <w:szCs w:val="20"/>
          <w:lang w:val="en-GB"/>
        </w:rPr>
        <w:t xml:space="preserve"> aspects. For example, </w:t>
      </w:r>
      <w:r>
        <w:rPr>
          <w:rFonts w:hint="eastAsia" w:eastAsia="Times New Roman"/>
          <w:sz w:val="20"/>
          <w:szCs w:val="20"/>
        </w:rPr>
        <w:t>in the model pairing procedures</w:t>
      </w:r>
      <w:r>
        <w:rPr>
          <w:rFonts w:hint="eastAsia" w:eastAsia="Times New Roman"/>
          <w:sz w:val="20"/>
          <w:szCs w:val="20"/>
          <w:lang w:val="en-GB"/>
        </w:rPr>
        <w:t xml:space="preserve">, </w:t>
      </w:r>
      <w:r>
        <w:rPr>
          <w:rFonts w:hint="eastAsia" w:eastAsia="Times New Roman"/>
          <w:sz w:val="20"/>
          <w:szCs w:val="20"/>
        </w:rPr>
        <w:t xml:space="preserve">a dataset ID or model ID may be dynamically indicated to the UE along with each exchanged dataset or set of model parameters </w:t>
      </w:r>
      <w:r>
        <w:rPr>
          <w:rFonts w:hint="eastAsia" w:eastAsia="Times New Roman"/>
          <w:sz w:val="20"/>
          <w:szCs w:val="20"/>
          <w:lang w:val="en-GB"/>
        </w:rPr>
        <w:t xml:space="preserve">for Direction A sub-option </w:t>
      </w:r>
      <w:r>
        <w:rPr>
          <w:rFonts w:hint="eastAsia" w:eastAsia="Times New Roman"/>
          <w:sz w:val="20"/>
          <w:szCs w:val="20"/>
        </w:rPr>
        <w:t xml:space="preserve">4-1 or </w:t>
      </w:r>
      <w:r>
        <w:rPr>
          <w:rFonts w:hint="eastAsia" w:eastAsia="Times New Roman"/>
          <w:sz w:val="20"/>
          <w:szCs w:val="20"/>
          <w:lang w:val="en-GB"/>
        </w:rPr>
        <w:t>3a-1</w:t>
      </w:r>
      <w:r>
        <w:rPr>
          <w:rFonts w:hint="eastAsia" w:eastAsia="Times New Roman"/>
          <w:sz w:val="20"/>
          <w:szCs w:val="20"/>
        </w:rPr>
        <w:t xml:space="preserve">. But for Direction C, a model ID associated with the </w:t>
      </w:r>
      <w:r>
        <w:rPr>
          <w:rFonts w:hint="eastAsia" w:eastAsia="Times New Roman"/>
          <w:sz w:val="20"/>
          <w:szCs w:val="20"/>
          <w:lang w:val="en-GB"/>
        </w:rPr>
        <w:t>fully defined/specified reference model</w:t>
      </w:r>
      <w:r>
        <w:rPr>
          <w:rFonts w:hint="eastAsia" w:eastAsia="Times New Roman"/>
          <w:sz w:val="20"/>
          <w:szCs w:val="20"/>
        </w:rPr>
        <w:t xml:space="preserve"> may be fixed in the specification</w:t>
      </w:r>
      <w:r>
        <w:rPr>
          <w:rFonts w:hint="eastAsia" w:eastAsia="Times New Roman"/>
          <w:sz w:val="20"/>
          <w:szCs w:val="20"/>
          <w:lang w:val="en-GB"/>
        </w:rPr>
        <w:t>.</w:t>
      </w:r>
      <w:r>
        <w:rPr>
          <w:rFonts w:hint="eastAsia" w:eastAsia="Times New Roman"/>
          <w:sz w:val="20"/>
          <w:szCs w:val="20"/>
        </w:rPr>
        <w:t xml:space="preserve"> </w:t>
      </w:r>
      <w:r>
        <w:rPr>
          <w:rFonts w:hint="eastAsia" w:eastAsia="Times New Roman"/>
          <w:sz w:val="20"/>
          <w:szCs w:val="20"/>
          <w:lang w:val="en-GB"/>
        </w:rPr>
        <w:t xml:space="preserve">Therefore, </w:t>
      </w:r>
      <w:r>
        <w:rPr>
          <w:rFonts w:hint="eastAsia" w:eastAsia="Times New Roman"/>
          <w:sz w:val="20"/>
          <w:szCs w:val="20"/>
        </w:rPr>
        <w:t>t</w:t>
      </w:r>
      <w:r>
        <w:rPr>
          <w:rFonts w:hint="eastAsia" w:eastAsia="Times New Roman"/>
          <w:sz w:val="20"/>
          <w:szCs w:val="20"/>
          <w:lang w:val="en-GB"/>
        </w:rPr>
        <w:t>o ensure the integrity of the standards and the implementation</w:t>
      </w:r>
      <w:r>
        <w:rPr>
          <w:rFonts w:hint="eastAsia" w:eastAsia="Times New Roman"/>
          <w:sz w:val="20"/>
          <w:szCs w:val="20"/>
        </w:rPr>
        <w:t xml:space="preserve"> </w:t>
      </w:r>
      <w:r>
        <w:rPr>
          <w:rFonts w:hint="eastAsia" w:eastAsia="Times New Roman"/>
          <w:sz w:val="20"/>
          <w:szCs w:val="20"/>
          <w:lang w:val="en-GB"/>
        </w:rPr>
        <w:t>flexibilit</w:t>
      </w:r>
      <w:r>
        <w:rPr>
          <w:rFonts w:hint="eastAsia" w:eastAsia="Times New Roman"/>
          <w:sz w:val="20"/>
          <w:szCs w:val="20"/>
        </w:rPr>
        <w:t xml:space="preserve">y, </w:t>
      </w:r>
      <w:r>
        <w:rPr>
          <w:rFonts w:hint="eastAsia" w:eastAsia="Times New Roman"/>
          <w:sz w:val="20"/>
          <w:szCs w:val="20"/>
          <w:lang w:val="en-GB"/>
        </w:rPr>
        <w:t xml:space="preserve">spec enhancements of </w:t>
      </w:r>
      <w:r>
        <w:rPr>
          <w:rFonts w:hint="eastAsia" w:eastAsia="Times New Roman"/>
          <w:sz w:val="20"/>
          <w:szCs w:val="20"/>
        </w:rPr>
        <w:t>other</w:t>
      </w:r>
      <w:r>
        <w:rPr>
          <w:rFonts w:hint="eastAsia" w:eastAsia="Times New Roman"/>
          <w:sz w:val="20"/>
          <w:szCs w:val="20"/>
          <w:lang w:val="en-GB"/>
        </w:rPr>
        <w:t xml:space="preserve"> aspects should be compatible to all to be specified inter vendor training collaboration options taking the scalability design into account.</w:t>
      </w:r>
    </w:p>
    <w:p>
      <w:pPr>
        <w:pStyle w:val="38"/>
        <w:snapToGrid w:val="0"/>
        <w:spacing w:before="72" w:after="72"/>
        <w:jc w:val="both"/>
        <w:rPr>
          <w:sz w:val="20"/>
          <w:szCs w:val="20"/>
          <w:lang w:val="en-US"/>
        </w:rPr>
      </w:pPr>
      <w:r>
        <w:rPr>
          <w:rFonts w:hint="eastAsia"/>
          <w:sz w:val="20"/>
          <w:szCs w:val="20"/>
          <w:lang w:val="en-US"/>
        </w:rPr>
        <w:t>S</w:t>
      </w:r>
      <w:r>
        <w:rPr>
          <w:rFonts w:hint="eastAsia"/>
          <w:sz w:val="20"/>
          <w:szCs w:val="20"/>
        </w:rPr>
        <w:t xml:space="preserve">pec enhancements of </w:t>
      </w:r>
      <w:r>
        <w:rPr>
          <w:rFonts w:hint="eastAsia"/>
          <w:sz w:val="20"/>
          <w:szCs w:val="20"/>
          <w:lang w:val="en-US"/>
        </w:rPr>
        <w:t>other</w:t>
      </w:r>
      <w:r>
        <w:rPr>
          <w:rFonts w:hint="eastAsia"/>
          <w:sz w:val="20"/>
          <w:szCs w:val="20"/>
        </w:rPr>
        <w:t xml:space="preserve"> aspects should be compatible to all to be specified inter vendor training collaboration options</w:t>
      </w:r>
      <w:r>
        <w:rPr>
          <w:rFonts w:hint="eastAsia"/>
          <w:sz w:val="20"/>
          <w:szCs w:val="20"/>
          <w:lang w:val="en-US"/>
        </w:rPr>
        <w:t xml:space="preserve"> (i.e., </w:t>
      </w:r>
      <w:r>
        <w:rPr>
          <w:rFonts w:hint="eastAsia" w:eastAsia="Times New Roman"/>
          <w:sz w:val="20"/>
          <w:szCs w:val="20"/>
        </w:rPr>
        <w:t>Direction A option</w:t>
      </w:r>
      <w:r>
        <w:rPr>
          <w:rFonts w:hint="eastAsia" w:eastAsia="Times New Roman"/>
          <w:sz w:val="20"/>
          <w:szCs w:val="20"/>
          <w:lang w:val="en-US"/>
        </w:rPr>
        <w:t>s</w:t>
      </w:r>
      <w:r>
        <w:rPr>
          <w:rFonts w:hint="eastAsia" w:eastAsia="Times New Roman"/>
          <w:sz w:val="20"/>
          <w:szCs w:val="20"/>
        </w:rPr>
        <w:t xml:space="preserve"> 3a-1</w:t>
      </w:r>
      <w:r>
        <w:rPr>
          <w:rFonts w:hint="eastAsia" w:eastAsia="Times New Roman"/>
          <w:sz w:val="20"/>
          <w:szCs w:val="20"/>
          <w:lang w:val="en-US"/>
        </w:rPr>
        <w:t xml:space="preserve"> and 4-1, Direction C</w:t>
      </w:r>
      <w:r>
        <w:rPr>
          <w:rFonts w:hint="eastAsia"/>
          <w:sz w:val="20"/>
          <w:szCs w:val="20"/>
          <w:lang w:val="en-US"/>
        </w:rPr>
        <w:t>)</w:t>
      </w:r>
      <w:r>
        <w:rPr>
          <w:rFonts w:hint="eastAsia"/>
          <w:sz w:val="20"/>
          <w:szCs w:val="20"/>
        </w:rPr>
        <w:t xml:space="preserve"> </w:t>
      </w:r>
      <w:r>
        <w:rPr>
          <w:rFonts w:hint="eastAsia"/>
          <w:sz w:val="20"/>
          <w:szCs w:val="20"/>
          <w:lang w:val="en-US"/>
        </w:rPr>
        <w:t>i</w:t>
      </w:r>
      <w:r>
        <w:rPr>
          <w:sz w:val="20"/>
          <w:szCs w:val="20"/>
          <w:lang w:val="en-US"/>
        </w:rPr>
        <w:t>ncluding</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associated</w:t>
      </w:r>
      <w:r>
        <w:rPr>
          <w:rFonts w:hint="eastAsia"/>
          <w:sz w:val="20"/>
          <w:szCs w:val="20"/>
          <w:lang w:val="en-US"/>
        </w:rPr>
        <w:t xml:space="preserve"> </w:t>
      </w:r>
      <w:r>
        <w:rPr>
          <w:sz w:val="20"/>
          <w:szCs w:val="20"/>
          <w:lang w:val="en-US"/>
        </w:rPr>
        <w:t>scalability</w:t>
      </w:r>
      <w:r>
        <w:rPr>
          <w:rFonts w:hint="eastAsia"/>
          <w:sz w:val="20"/>
          <w:szCs w:val="20"/>
          <w:lang w:val="en-US"/>
        </w:rPr>
        <w:t xml:space="preserve"> </w:t>
      </w:r>
      <w:r>
        <w:rPr>
          <w:sz w:val="20"/>
          <w:szCs w:val="20"/>
          <w:lang w:val="en-US"/>
        </w:rPr>
        <w:t>design.</w:t>
      </w:r>
    </w:p>
    <w:p>
      <w:pPr>
        <w:snapToGrid w:val="0"/>
        <w:spacing w:before="72" w:beforeLines="30" w:after="72" w:afterLines="30" w:line="288" w:lineRule="auto"/>
        <w:jc w:val="both"/>
        <w:rPr>
          <w:rFonts w:eastAsia="Times New Roman"/>
          <w:color w:val="000000"/>
          <w:sz w:val="24"/>
          <w:szCs w:val="24"/>
        </w:rPr>
      </w:pPr>
      <w:r>
        <w:rPr>
          <w:rFonts w:hint="eastAsia" w:eastAsia="Times New Roman"/>
          <w:sz w:val="20"/>
          <w:szCs w:val="20"/>
        </w:rPr>
        <w:t>The other</w:t>
      </w:r>
      <w:r>
        <w:rPr>
          <w:rFonts w:hint="eastAsia" w:eastAsia="Times New Roman"/>
          <w:sz w:val="20"/>
          <w:szCs w:val="20"/>
          <w:lang w:val="en-GB"/>
        </w:rPr>
        <w:t xml:space="preserve"> aspects for AI/ML CSI feedback enhancement that have been identified by companies includes </w:t>
      </w:r>
      <w:r>
        <w:rPr>
          <w:rFonts w:hint="eastAsia" w:eastAsia="Times New Roman"/>
          <w:sz w:val="20"/>
          <w:szCs w:val="20"/>
        </w:rPr>
        <w:t>model pairing procedures, training data collection, and performance monitoring</w:t>
      </w:r>
      <w:r>
        <w:rPr>
          <w:rFonts w:hint="eastAsia" w:eastAsia="Times New Roman"/>
          <w:sz w:val="20"/>
          <w:szCs w:val="20"/>
          <w:lang w:val="en-GB"/>
        </w:rPr>
        <w:t xml:space="preserve">. Those aspects will be specified when necessary. </w:t>
      </w:r>
      <w:r>
        <w:rPr>
          <w:rFonts w:hint="eastAsia" w:eastAsia="Times New Roman"/>
          <w:sz w:val="20"/>
          <w:szCs w:val="20"/>
        </w:rPr>
        <w:t>However</w:t>
      </w:r>
      <w:r>
        <w:rPr>
          <w:rFonts w:hint="eastAsia" w:eastAsia="Times New Roman"/>
          <w:sz w:val="20"/>
          <w:szCs w:val="20"/>
          <w:lang w:val="en-GB"/>
        </w:rPr>
        <w:t xml:space="preserve">, </w:t>
      </w:r>
      <w:r>
        <w:rPr>
          <w:rFonts w:hint="eastAsia" w:eastAsia="Times New Roman"/>
          <w:sz w:val="20"/>
          <w:szCs w:val="20"/>
        </w:rPr>
        <w:t>it</w:t>
      </w:r>
      <w:r>
        <w:rPr>
          <w:rFonts w:eastAsia="Times New Roman"/>
          <w:sz w:val="20"/>
          <w:szCs w:val="20"/>
        </w:rPr>
        <w:t>’</w:t>
      </w:r>
      <w:r>
        <w:rPr>
          <w:rFonts w:hint="eastAsia" w:eastAsia="Times New Roman"/>
          <w:sz w:val="20"/>
          <w:szCs w:val="20"/>
        </w:rPr>
        <w:t xml:space="preserve">s noted that </w:t>
      </w:r>
      <w:r>
        <w:rPr>
          <w:rFonts w:hint="eastAsia" w:eastAsia="Times New Roman"/>
          <w:sz w:val="20"/>
          <w:szCs w:val="20"/>
          <w:lang w:val="en-GB"/>
        </w:rPr>
        <w:t xml:space="preserve">some </w:t>
      </w:r>
      <w:r>
        <w:rPr>
          <w:rFonts w:hint="eastAsia" w:eastAsia="Times New Roman"/>
          <w:sz w:val="20"/>
          <w:szCs w:val="20"/>
        </w:rPr>
        <w:t>other</w:t>
      </w:r>
      <w:r>
        <w:rPr>
          <w:rFonts w:hint="eastAsia" w:eastAsia="Times New Roman"/>
          <w:sz w:val="20"/>
          <w:szCs w:val="20"/>
          <w:lang w:val="en-GB"/>
        </w:rPr>
        <w:t xml:space="preserve"> aspects have already been discussed and specified in AI/ML beam management and CSI prediction use case</w:t>
      </w:r>
      <w:r>
        <w:rPr>
          <w:rFonts w:hint="eastAsia" w:eastAsia="Times New Roman"/>
          <w:sz w:val="20"/>
          <w:szCs w:val="20"/>
        </w:rPr>
        <w:t xml:space="preserve">s in Rel-19 </w:t>
      </w:r>
      <w:r>
        <w:rPr>
          <w:rFonts w:hint="eastAsia" w:eastAsia="Times New Roman"/>
          <w:sz w:val="20"/>
          <w:szCs w:val="20"/>
          <w:lang w:val="en-GB"/>
        </w:rPr>
        <w:t xml:space="preserve">such as </w:t>
      </w:r>
      <w:r>
        <w:rPr>
          <w:rFonts w:hint="eastAsia" w:eastAsia="Times New Roman"/>
          <w:sz w:val="20"/>
          <w:szCs w:val="20"/>
        </w:rPr>
        <w:t>training data collection framework</w:t>
      </w:r>
      <w:r>
        <w:rPr>
          <w:rFonts w:hint="eastAsia" w:eastAsia="Times New Roman"/>
          <w:sz w:val="20"/>
          <w:szCs w:val="20"/>
          <w:lang w:val="en-GB"/>
        </w:rPr>
        <w:t xml:space="preserve">. Given that all three AI/ML enabled use cases share the same CSI framework, it's not expected that different methods or signalings are used for the same purpose from the perspective of standard simplicity, unless there is a very strong and urgent motivation. </w:t>
      </w:r>
      <w:r>
        <w:rPr>
          <w:rFonts w:hint="eastAsia" w:eastAsia="Times New Roman"/>
          <w:sz w:val="20"/>
          <w:szCs w:val="20"/>
        </w:rPr>
        <w:t>Generally</w:t>
      </w:r>
      <w:r>
        <w:rPr>
          <w:rFonts w:hint="eastAsia" w:eastAsia="Times New Roman"/>
          <w:sz w:val="20"/>
          <w:szCs w:val="20"/>
          <w:lang w:val="en-GB"/>
        </w:rPr>
        <w:t>, we suggest to directly reuse the spec enhancements specified for AI/ML beam management and CSI prediction to reduce spec efforts and simpl</w:t>
      </w:r>
      <w:r>
        <w:rPr>
          <w:rFonts w:eastAsia="Times New Roman"/>
          <w:sz w:val="20"/>
          <w:szCs w:val="20"/>
          <w:lang w:val="en-GB"/>
        </w:rPr>
        <w:t>ify</w:t>
      </w:r>
      <w:r>
        <w:rPr>
          <w:rFonts w:hint="eastAsia" w:eastAsia="Times New Roman"/>
          <w:sz w:val="20"/>
          <w:szCs w:val="20"/>
          <w:lang w:val="en-GB"/>
        </w:rPr>
        <w:t xml:space="preserve"> the spec design, when applicable.</w:t>
      </w:r>
    </w:p>
    <w:p>
      <w:pPr>
        <w:pStyle w:val="38"/>
        <w:snapToGrid w:val="0"/>
        <w:spacing w:before="72" w:after="72"/>
        <w:jc w:val="both"/>
        <w:rPr>
          <w:sz w:val="20"/>
          <w:szCs w:val="20"/>
          <w:lang w:val="en-US"/>
        </w:rPr>
      </w:pPr>
      <w:r>
        <w:rPr>
          <w:sz w:val="20"/>
          <w:szCs w:val="20"/>
          <w:lang w:val="en-US"/>
        </w:rPr>
        <w:t>Spec</w:t>
      </w:r>
      <w:r>
        <w:rPr>
          <w:rFonts w:hint="eastAsia"/>
          <w:sz w:val="20"/>
          <w:szCs w:val="20"/>
          <w:lang w:val="en-US"/>
        </w:rPr>
        <w:t xml:space="preserve"> </w:t>
      </w:r>
      <w:r>
        <w:rPr>
          <w:sz w:val="20"/>
          <w:szCs w:val="20"/>
          <w:lang w:val="en-US"/>
        </w:rPr>
        <w:t>enhancements</w:t>
      </w:r>
      <w:r>
        <w:rPr>
          <w:rFonts w:hint="eastAsia"/>
          <w:sz w:val="20"/>
          <w:szCs w:val="20"/>
          <w:lang w:val="en-US"/>
        </w:rPr>
        <w:t xml:space="preserve"> </w:t>
      </w:r>
      <w:r>
        <w:rPr>
          <w:sz w:val="20"/>
          <w:szCs w:val="20"/>
          <w:lang w:val="en-US"/>
        </w:rPr>
        <w:t>specified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rFonts w:hint="eastAsia" w:eastAsia="Times New Roman"/>
          <w:sz w:val="20"/>
          <w:szCs w:val="20"/>
        </w:rPr>
        <w:t>AI/ML beam management</w:t>
      </w:r>
      <w:r>
        <w:rPr>
          <w:rFonts w:hint="eastAsia" w:eastAsia="Times New Roman"/>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CSI</w:t>
      </w:r>
      <w:r>
        <w:rPr>
          <w:rFonts w:hint="eastAsia"/>
          <w:sz w:val="20"/>
          <w:szCs w:val="20"/>
          <w:lang w:val="en-US"/>
        </w:rPr>
        <w:t xml:space="preserve"> </w:t>
      </w:r>
      <w:r>
        <w:rPr>
          <w:sz w:val="20"/>
          <w:szCs w:val="20"/>
          <w:lang w:val="en-US"/>
        </w:rPr>
        <w:t>prediction</w:t>
      </w:r>
      <w:r>
        <w:rPr>
          <w:rFonts w:hint="eastAsia"/>
          <w:sz w:val="20"/>
          <w:szCs w:val="20"/>
          <w:lang w:val="en-US"/>
        </w:rPr>
        <w:t xml:space="preserve"> </w:t>
      </w:r>
      <w:r>
        <w:rPr>
          <w:sz w:val="20"/>
          <w:szCs w:val="20"/>
          <w:lang w:val="en-US"/>
        </w:rPr>
        <w:t>use</w:t>
      </w:r>
      <w:r>
        <w:rPr>
          <w:rFonts w:hint="eastAsia"/>
          <w:sz w:val="20"/>
          <w:szCs w:val="20"/>
          <w:lang w:val="en-US"/>
        </w:rPr>
        <w:t xml:space="preserve"> </w:t>
      </w:r>
      <w:r>
        <w:rPr>
          <w:sz w:val="20"/>
          <w:szCs w:val="20"/>
          <w:lang w:val="en-US"/>
        </w:rPr>
        <w:t>cases</w:t>
      </w:r>
      <w:r>
        <w:rPr>
          <w:rFonts w:hint="eastAsia"/>
          <w:sz w:val="20"/>
          <w:szCs w:val="20"/>
          <w:lang w:val="en-US"/>
        </w:rPr>
        <w:t xml:space="preserve"> </w:t>
      </w:r>
      <w:r>
        <w:rPr>
          <w:sz w:val="20"/>
          <w:szCs w:val="20"/>
          <w:lang w:val="en-US"/>
        </w:rPr>
        <w:t>should</w:t>
      </w:r>
      <w:r>
        <w:rPr>
          <w:rFonts w:hint="eastAsia"/>
          <w:sz w:val="20"/>
          <w:szCs w:val="20"/>
          <w:lang w:val="en-US"/>
        </w:rPr>
        <w:t xml:space="preserve"> </w:t>
      </w:r>
      <w:r>
        <w:rPr>
          <w:sz w:val="20"/>
          <w:szCs w:val="20"/>
          <w:lang w:val="en-US"/>
        </w:rPr>
        <w:t>be</w:t>
      </w:r>
      <w:r>
        <w:rPr>
          <w:rFonts w:hint="eastAsia"/>
          <w:sz w:val="20"/>
          <w:szCs w:val="20"/>
          <w:lang w:val="en-US"/>
        </w:rPr>
        <w:t xml:space="preserve"> </w:t>
      </w:r>
      <w:r>
        <w:rPr>
          <w:sz w:val="20"/>
          <w:szCs w:val="20"/>
          <w:lang w:val="en-US"/>
        </w:rPr>
        <w:t>reused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sz w:val="20"/>
          <w:szCs w:val="20"/>
          <w:lang w:val="en-US"/>
        </w:rPr>
        <w:t>AI/ML</w:t>
      </w:r>
      <w:r>
        <w:rPr>
          <w:rFonts w:hint="eastAsia"/>
          <w:sz w:val="20"/>
          <w:szCs w:val="20"/>
          <w:lang w:val="en-US"/>
        </w:rPr>
        <w:t xml:space="preserve"> </w:t>
      </w:r>
      <w:r>
        <w:rPr>
          <w:sz w:val="20"/>
          <w:szCs w:val="20"/>
          <w:lang w:val="en-US"/>
        </w:rPr>
        <w:t>CSI</w:t>
      </w:r>
      <w:r>
        <w:rPr>
          <w:rFonts w:hint="eastAsia"/>
          <w:sz w:val="20"/>
          <w:szCs w:val="20"/>
          <w:lang w:val="en-US"/>
        </w:rPr>
        <w:t xml:space="preserve"> feedback </w:t>
      </w:r>
      <w:r>
        <w:rPr>
          <w:sz w:val="20"/>
          <w:szCs w:val="20"/>
          <w:lang w:val="en-US"/>
        </w:rPr>
        <w:t>to</w:t>
      </w:r>
      <w:r>
        <w:rPr>
          <w:rFonts w:hint="eastAsia"/>
          <w:sz w:val="20"/>
          <w:szCs w:val="20"/>
          <w:lang w:val="en-US"/>
        </w:rPr>
        <w:t xml:space="preserve"> </w:t>
      </w:r>
      <w:r>
        <w:rPr>
          <w:sz w:val="20"/>
          <w:szCs w:val="20"/>
          <w:lang w:val="en-US"/>
        </w:rPr>
        <w:t>reduce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efforts</w:t>
      </w:r>
      <w:r>
        <w:rPr>
          <w:rFonts w:hint="eastAsia"/>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simplify</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design,</w:t>
      </w:r>
      <w:r>
        <w:rPr>
          <w:rFonts w:hint="eastAsia"/>
          <w:sz w:val="20"/>
          <w:szCs w:val="20"/>
          <w:lang w:val="en-US"/>
        </w:rPr>
        <w:t xml:space="preserve"> </w:t>
      </w:r>
      <w:r>
        <w:rPr>
          <w:sz w:val="20"/>
          <w:szCs w:val="20"/>
          <w:lang w:val="en-US"/>
        </w:rPr>
        <w:t>when</w:t>
      </w:r>
      <w:r>
        <w:rPr>
          <w:rFonts w:hint="eastAsia"/>
          <w:sz w:val="20"/>
          <w:szCs w:val="20"/>
          <w:lang w:val="en-US"/>
        </w:rPr>
        <w:t xml:space="preserve"> </w:t>
      </w:r>
      <w:r>
        <w:rPr>
          <w:sz w:val="20"/>
          <w:szCs w:val="20"/>
          <w:lang w:val="en-US"/>
        </w:rPr>
        <w:t>applicable.</w:t>
      </w:r>
    </w:p>
    <w:p>
      <w:pPr>
        <w:pStyle w:val="38"/>
        <w:numPr>
          <w:ilvl w:val="0"/>
          <w:numId w:val="0"/>
        </w:numPr>
        <w:snapToGrid w:val="0"/>
        <w:spacing w:before="72" w:after="72"/>
        <w:jc w:val="both"/>
        <w:rPr>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Potential specification impacts</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Model pairing procedures</w:t>
      </w:r>
    </w:p>
    <w:p>
      <w:pPr>
        <w:numPr>
          <w:ilvl w:val="0"/>
          <w:numId w:val="13"/>
        </w:numPr>
        <w:snapToGrid w:val="0"/>
        <w:spacing w:before="72" w:beforeLines="30" w:after="72" w:afterLines="30" w:line="288" w:lineRule="auto"/>
        <w:jc w:val="both"/>
        <w:rPr>
          <w:rFonts w:eastAsia="Times New Roman"/>
          <w:b/>
          <w:bCs/>
          <w:sz w:val="20"/>
          <w:szCs w:val="20"/>
        </w:rPr>
      </w:pPr>
      <w:r>
        <w:rPr>
          <w:rFonts w:hint="eastAsia" w:eastAsia="Times New Roman"/>
          <w:b/>
          <w:bCs/>
          <w:sz w:val="20"/>
          <w:szCs w:val="20"/>
        </w:rPr>
        <w:t>Pairing ID definition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In Rel-19, the procedure to align the pairing information between CSI generation part and CSI reconstruction part were studied and the following observation was made.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sz w:val="20"/>
                <w:szCs w:val="20"/>
                <w:u w:val="single"/>
              </w:rPr>
            </w:pPr>
            <w:r>
              <w:rPr>
                <w:rFonts w:hint="eastAsia" w:eastAsia="t"/>
                <w:b/>
                <w:sz w:val="20"/>
                <w:szCs w:val="20"/>
                <w:u w:val="single"/>
              </w:rPr>
              <w:t>Observation</w:t>
            </w:r>
          </w:p>
          <w:p>
            <w:pPr>
              <w:overflowPunct w:val="0"/>
              <w:autoSpaceDE w:val="0"/>
              <w:autoSpaceDN w:val="0"/>
              <w:adjustRightInd w:val="0"/>
              <w:snapToGrid w:val="0"/>
              <w:spacing w:before="72" w:beforeLines="30" w:after="72" w:afterLines="30" w:line="288" w:lineRule="auto"/>
              <w:jc w:val="both"/>
              <w:textAlignment w:val="baseline"/>
              <w:rPr>
                <w:sz w:val="20"/>
                <w:szCs w:val="20"/>
                <w:lang w:eastAsia="en-US"/>
              </w:rPr>
            </w:pPr>
            <w:r>
              <w:rPr>
                <w:sz w:val="20"/>
                <w:szCs w:val="20"/>
                <w:lang w:eastAsia="en-US"/>
              </w:rPr>
              <w:t>In CSI compression using two-sided model use case, at least the following options have been proposed by companies to define the pairing information used to enable the UE to select a CSI generation model(s) that is compatible with the CSI reconstruction model(s) used by the gNB:</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Option 1: The pairing information is in the forms of the CSI reconstruction model ID that NW will use.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Option 2: The pairing information is in the forms of the CSI generation model ID that the UE will use.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Option</w:t>
            </w:r>
            <w:r>
              <w:rPr>
                <w:rFonts w:hint="eastAsia"/>
                <w:color w:val="000000" w:themeColor="text1"/>
                <w:sz w:val="20"/>
                <w:szCs w:val="20"/>
                <w14:textFill>
                  <w14:solidFill>
                    <w14:schemeClr w14:val="tx1"/>
                  </w14:solidFill>
                </w14:textFill>
              </w:rPr>
              <w:t xml:space="preserve"> </w:t>
            </w:r>
            <w:r>
              <w:rPr>
                <w:color w:val="000000" w:themeColor="text1"/>
                <w:sz w:val="20"/>
                <w:szCs w:val="20"/>
                <w14:textFill>
                  <w14:solidFill>
                    <w14:schemeClr w14:val="tx1"/>
                  </w14:solidFill>
                </w14:textFill>
              </w:rPr>
              <w:t xml:space="preserve">3: The pairing information is in the forms of the paired CSI generation model and CSI reconstruction model ID.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Option</w:t>
            </w:r>
            <w:r>
              <w:rPr>
                <w:rFonts w:hint="eastAsia"/>
                <w:color w:val="000000" w:themeColor="text1"/>
                <w:sz w:val="20"/>
                <w:szCs w:val="20"/>
                <w14:textFill>
                  <w14:solidFill>
                    <w14:schemeClr w14:val="tx1"/>
                  </w14:solidFill>
                </w14:textFill>
              </w:rPr>
              <w:t xml:space="preserve"> </w:t>
            </w:r>
            <w:r>
              <w:rPr>
                <w:color w:val="000000" w:themeColor="text1"/>
                <w:sz w:val="20"/>
                <w:szCs w:val="20"/>
                <w14:textFill>
                  <w14:solidFill>
                    <w14:schemeClr w14:val="tx1"/>
                  </w14:solidFill>
                </w14:textFill>
              </w:rPr>
              <w:t xml:space="preserve">4: The pairing information is in the forms of by the dataset ID during type 3 sequential training.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Option 5: The pairing information is in the forms of a training session ID to a prior training session (e.g., API) between NW and UE.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Option 6: The pairing information is up to UE/NW offline co-engineering alignment, transparent to 3GPP specification. </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 the disclosure of the vendor information during the model pairing procedure and model identification procedure should be considered.</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Note: If each UE side model is compatible with all NW side model, the information is not needed for the UE. </w:t>
            </w:r>
          </w:p>
          <w:p>
            <w:pPr>
              <w:snapToGrid w:val="0"/>
              <w:spacing w:before="72" w:beforeLines="30" w:after="72" w:afterLines="30" w:line="288" w:lineRule="auto"/>
              <w:jc w:val="both"/>
              <w:rPr>
                <w:rFonts w:eastAsia="Times New Roman"/>
                <w:sz w:val="20"/>
                <w:szCs w:val="20"/>
              </w:rPr>
            </w:pPr>
            <w:r>
              <w:rPr>
                <w:sz w:val="20"/>
                <w:szCs w:val="20"/>
              </w:rPr>
              <w:t>Note: Above does not imply there is a need for a central entity for defining/storing/maintaining the IDs.</w:t>
            </w:r>
            <w:r>
              <w:rPr>
                <w:rFonts w:eastAsia="Malgun Gothic"/>
                <w:color w:val="000000"/>
                <w:sz w:val="20"/>
                <w:szCs w:val="20"/>
              </w:rPr>
              <w:t xml:space="preserve"> </w:t>
            </w:r>
          </w:p>
        </w:tc>
      </w:tr>
    </w:tbl>
    <w:p>
      <w:pPr>
        <w:snapToGrid w:val="0"/>
        <w:spacing w:before="72" w:beforeLines="30" w:after="72" w:afterLines="30" w:line="288" w:lineRule="auto"/>
        <w:jc w:val="both"/>
        <w:rPr>
          <w:rFonts w:eastAsia="Times New Roman"/>
          <w:sz w:val="20"/>
          <w:szCs w:val="20"/>
        </w:rPr>
      </w:pPr>
      <w:r>
        <w:rPr>
          <w:rFonts w:hint="eastAsia" w:eastAsia="Times New Roman"/>
          <w:sz w:val="20"/>
          <w:szCs w:val="20"/>
        </w:rPr>
        <w:t>For AI/ML CSI feedback using two-sided model use case, to enable the UE to select an encoder compatible with the decoder used by the gNB, pairing ID shall be defined which may be in the form of specified ID, dataset ID, or model ID, depending on the inter-vendor training collaboration options. Specifically, for inter-vendor training collaboration Direction C, a reference model including its model structure and parameters is fully standardized/specified/defined, with each associated with a specified ID fixed in the specification. The specified ID can then be used for pairing purpose, regardless of the potential offline engineering at the NW or UE side. For inter-vendor training collaboration Direction A 3a-1, a scalable model structure is specified/defined and a set of scalable model parameters corresponding to the model structure are exchanged from the NW side to the UE side during model training phase, with each associated with a model ID. In this case, the model ID is dynamically assigned by the NW side. Similarly, for inter-vendor training collaboration Direction A 4-1, a dataset consisting of {target CSI, CSI feedback} are exchanged from the NW side to the UE side during model training phase, with each associated with a dataset ID assigned by the NW side.</w:t>
      </w:r>
    </w:p>
    <w:p>
      <w:pPr>
        <w:pStyle w:val="38"/>
        <w:snapToGrid w:val="0"/>
        <w:spacing w:before="72" w:after="72"/>
        <w:jc w:val="both"/>
        <w:rPr>
          <w:sz w:val="20"/>
          <w:szCs w:val="20"/>
          <w:lang w:val="en-US"/>
        </w:rPr>
      </w:pPr>
      <w:r>
        <w:rPr>
          <w:rFonts w:hint="eastAsia"/>
          <w:sz w:val="20"/>
          <w:szCs w:val="20"/>
          <w:lang w:val="en-US"/>
        </w:rPr>
        <w:t>To enable the UE to select an encoder compatible with the decoder used by the gNB, pairing ID shall be defined which may be in the form of specified ID, dataset ID, or model ID, depending on the inter-vendor training collaboration options.</w:t>
      </w:r>
    </w:p>
    <w:p>
      <w:pPr>
        <w:snapToGrid w:val="0"/>
        <w:spacing w:before="72" w:beforeLines="30" w:after="72" w:afterLines="30" w:line="288" w:lineRule="auto"/>
        <w:jc w:val="both"/>
        <w:rPr>
          <w:rFonts w:eastAsia="Times New Roman"/>
          <w:sz w:val="20"/>
          <w:szCs w:val="20"/>
        </w:rPr>
      </w:pPr>
    </w:p>
    <w:p>
      <w:pPr>
        <w:numPr>
          <w:ilvl w:val="0"/>
          <w:numId w:val="13"/>
        </w:numPr>
        <w:snapToGrid w:val="0"/>
        <w:spacing w:before="72" w:beforeLines="30" w:after="72" w:afterLines="30" w:line="288" w:lineRule="auto"/>
        <w:jc w:val="both"/>
        <w:rPr>
          <w:rFonts w:eastAsia="Times New Roman"/>
          <w:b/>
          <w:bCs/>
          <w:sz w:val="20"/>
          <w:szCs w:val="20"/>
        </w:rPr>
      </w:pPr>
      <w:r>
        <w:rPr>
          <w:rFonts w:hint="eastAsia" w:eastAsia="Times New Roman"/>
          <w:b/>
          <w:bCs/>
          <w:sz w:val="20"/>
          <w:szCs w:val="20"/>
        </w:rPr>
        <w:t>Applicability reporting</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The applicability reporting procedures for AI/ML beam management have been well studied by RAN2 in Rel-19 for the alignment of applicable model/functionality ready for inference between gNB and UE. Specifically, as illustrated in the following figure, after receiving the UE capability information, the gNB will provide some candidate inference configurations (e.g., inference related parameters, full CSI report configuration) to the UE for applicability inquiry. The UE decides the applicable functionalities based on provided inference configurations and model availability in device, and then reports applicability for all the candidate inference configurations. Finally, applicable inference configurations can be activated/triggered by the gNB after the applicability reported.</w:t>
      </w:r>
    </w:p>
    <w:p>
      <w:pPr>
        <w:jc w:val="center"/>
        <w:rPr>
          <w:rFonts w:eastAsia="Arial Unicode MS"/>
          <w:kern w:val="2"/>
          <w:sz w:val="32"/>
          <w:szCs w:val="20"/>
        </w:rPr>
      </w:pPr>
      <w:r>
        <w:object>
          <v:shape id="_x0000_i1025" o:spt="75" type="#_x0000_t75" style="height:173.75pt;width:222.6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Firstly, on a high level, all the applicability reporting procedures defined for AI/ML beam management shall be directly reused for AI/ML CSI feedback to reduce the spec efforts. Then, as can be observed, the key step for applicability reporting is that the gNB will provide some candidate inference configurations to the UE in Step 3 and then the UE will response the applicability in Step 4. Apparently, the candidate inference configurations would be different from that defined for AI/ML beam management, and thus need to be further clarified. As far as we </w:t>
      </w:r>
      <w:r>
        <w:rPr>
          <w:rFonts w:eastAsia="Times New Roman"/>
          <w:sz w:val="20"/>
          <w:szCs w:val="20"/>
        </w:rPr>
        <w:t xml:space="preserve">are </w:t>
      </w:r>
      <w:r>
        <w:rPr>
          <w:rFonts w:hint="eastAsia" w:eastAsia="Times New Roman"/>
          <w:sz w:val="20"/>
          <w:szCs w:val="20"/>
        </w:rPr>
        <w:t>concern</w:t>
      </w:r>
      <w:r>
        <w:rPr>
          <w:rFonts w:eastAsia="Times New Roman"/>
          <w:sz w:val="20"/>
          <w:szCs w:val="20"/>
        </w:rPr>
        <w:t>ed</w:t>
      </w:r>
      <w:r>
        <w:rPr>
          <w:rFonts w:hint="eastAsia" w:eastAsia="Times New Roman"/>
          <w:sz w:val="20"/>
          <w:szCs w:val="20"/>
        </w:rPr>
        <w:t>, the candidate inference configurations should at least include the pairing ID, while the necessity of other information like payload size can be further studied by taking the inter-vendor training collaboration into account. Specifically, for inter-vendor training collaboration Direction A 4-1, a dataset transferred to the UE side may consist of data samples from a certain configuration combination of {number of Tx ports, CSI feedback payload size, bandwidth} or multiple configuration combinations of {number of Tx ports, CSI feedback payload size, bandwidth}. If the dataset only correspond to one certain configuration combination, the dataset ID can be used solely for applicability inquiry. If the dataset corresponds to multiple configuration combinations, whether the UE-part model can only support partial configuration combinations needs to be further clarified. Assume that the UE-part model only supports one of the multiple configuration combinations. Then, besides the dataset ID, additionally indication on the number of Tx ports, CSI feedback payload size, or bandwidth may also need to be provided to the UE as part of the candidate inference configurations. Similarly, for inter-vendor training collaboration Direction A 3a-1, assuming a set of scalable model parameters transferred to the UE side can support multiple configuration combinations of {number of Tx ports, CSI feedback payload size, bandwidth}, additional indication on the number of Tx ports, CSI feedback payload size, or bandwidth may also be necessary for applicability inquiry.</w:t>
      </w:r>
    </w:p>
    <w:p>
      <w:pPr>
        <w:pStyle w:val="38"/>
        <w:snapToGrid w:val="0"/>
        <w:spacing w:before="72" w:after="72"/>
        <w:jc w:val="both"/>
        <w:rPr>
          <w:sz w:val="20"/>
          <w:szCs w:val="20"/>
          <w:lang w:val="en-US"/>
        </w:rPr>
      </w:pPr>
      <w:r>
        <w:rPr>
          <w:rFonts w:hint="eastAsia"/>
          <w:sz w:val="20"/>
          <w:szCs w:val="20"/>
          <w:lang w:val="en-US"/>
        </w:rPr>
        <w:t>For the applicability report for AI/ML CSI feedback use case, reuse the applicability reporting procedures defined for AI/ML beam management as a starting point.</w:t>
      </w:r>
    </w:p>
    <w:p>
      <w:pPr>
        <w:pStyle w:val="38"/>
        <w:snapToGrid w:val="0"/>
        <w:spacing w:before="72" w:after="72"/>
        <w:jc w:val="both"/>
        <w:rPr>
          <w:sz w:val="20"/>
          <w:szCs w:val="20"/>
          <w:lang w:val="en-US"/>
        </w:rPr>
      </w:pPr>
      <w:r>
        <w:rPr>
          <w:rFonts w:hint="eastAsia"/>
          <w:sz w:val="20"/>
          <w:szCs w:val="20"/>
          <w:lang w:val="en-US"/>
        </w:rPr>
        <w:t>For the applicability report for AI/ML CSI feedback use case, the candidate inference configurations provided to the UE shall at least include the pairing ID. FFS other information by considering the inter-vendor training collaboration methods.</w:t>
      </w:r>
    </w:p>
    <w:p>
      <w:pPr>
        <w:pStyle w:val="38"/>
        <w:numPr>
          <w:ilvl w:val="0"/>
          <w:numId w:val="0"/>
        </w:numPr>
        <w:snapToGrid w:val="0"/>
        <w:spacing w:before="72" w:after="72"/>
        <w:jc w:val="both"/>
        <w:rPr>
          <w:sz w:val="20"/>
          <w:szCs w:val="20"/>
          <w:lang w:val="en-US"/>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Data collection</w:t>
      </w:r>
    </w:p>
    <w:p>
      <w:pPr>
        <w:numPr>
          <w:ilvl w:val="0"/>
          <w:numId w:val="13"/>
        </w:numPr>
        <w:snapToGrid w:val="0"/>
        <w:spacing w:before="72" w:beforeLines="30" w:after="72" w:afterLines="30" w:line="288" w:lineRule="auto"/>
        <w:jc w:val="both"/>
        <w:rPr>
          <w:rFonts w:eastAsia="Times New Roman"/>
          <w:b/>
          <w:bCs/>
          <w:sz w:val="20"/>
          <w:szCs w:val="20"/>
        </w:rPr>
      </w:pPr>
      <w:r>
        <w:rPr>
          <w:rFonts w:hint="eastAsia" w:eastAsia="Times New Roman"/>
          <w:b/>
          <w:bCs/>
          <w:sz w:val="20"/>
          <w:szCs w:val="20"/>
        </w:rPr>
        <w:t>NW-side training data collection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In Rel-19, the necessity and feasibility of ground-truth reporting for NW-side data collection for training were confirmed and the following agreement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t"/>
                <w:b/>
                <w:sz w:val="20"/>
                <w:u w:val="single"/>
              </w:rPr>
            </w:pPr>
            <w:r>
              <w:rPr>
                <w:rFonts w:hint="eastAsia" w:eastAsia="t"/>
                <w:b/>
                <w:sz w:val="20"/>
                <w:u w:val="single"/>
              </w:rPr>
              <w:t>Agreement</w:t>
            </w:r>
          </w:p>
          <w:p>
            <w:pPr>
              <w:overflowPunct w:val="0"/>
              <w:autoSpaceDE w:val="0"/>
              <w:autoSpaceDN w:val="0"/>
              <w:adjustRightInd w:val="0"/>
              <w:snapToGrid w:val="0"/>
              <w:spacing w:before="72" w:beforeLines="30" w:after="72" w:afterLines="30" w:line="288" w:lineRule="auto"/>
              <w:jc w:val="both"/>
              <w:textAlignment w:val="baseline"/>
              <w:rPr>
                <w:sz w:val="20"/>
                <w:szCs w:val="20"/>
                <w:lang w:eastAsia="en-US"/>
              </w:rPr>
            </w:pPr>
            <w:r>
              <w:rPr>
                <w:sz w:val="20"/>
                <w:szCs w:val="20"/>
                <w:lang w:eastAsia="en-US"/>
              </w:rPr>
              <w:t>For NW</w:t>
            </w:r>
            <w:r>
              <w:rPr>
                <w:rFonts w:hint="eastAsia" w:eastAsia="等线"/>
                <w:sz w:val="20"/>
                <w:szCs w:val="20"/>
              </w:rPr>
              <w:t xml:space="preserve"> to collect data for training</w:t>
            </w:r>
            <w:r>
              <w:rPr>
                <w:sz w:val="20"/>
                <w:szCs w:val="20"/>
                <w:lang w:eastAsia="en-US"/>
              </w:rPr>
              <w:t xml:space="preserve">, </w:t>
            </w:r>
            <w:r>
              <w:rPr>
                <w:rFonts w:hint="eastAsia" w:eastAsia="等线"/>
                <w:sz w:val="20"/>
                <w:szCs w:val="20"/>
              </w:rPr>
              <w:t>study</w:t>
            </w:r>
            <w:r>
              <w:rPr>
                <w:sz w:val="20"/>
                <w:szCs w:val="20"/>
                <w:lang w:eastAsia="en-US"/>
              </w:rPr>
              <w:t xml:space="preserve"> following spec impacts</w:t>
            </w:r>
          </w:p>
          <w:p>
            <w:pPr>
              <w:numPr>
                <w:ilvl w:val="0"/>
                <w:numId w:val="14"/>
              </w:numPr>
              <w:tabs>
                <w:tab w:val="left" w:pos="72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lang w:val="en-GB" w:eastAsia="en-US"/>
                <w14:textFill>
                  <w14:solidFill>
                    <w14:schemeClr w14:val="tx1"/>
                  </w14:solidFill>
                </w14:textFill>
              </w:rPr>
            </w:pPr>
            <w:r>
              <w:rPr>
                <w:color w:val="000000" w:themeColor="text1"/>
                <w:sz w:val="20"/>
                <w:szCs w:val="20"/>
                <w:lang w:val="en-GB" w:eastAsia="en-US"/>
                <w14:textFill>
                  <w14:solidFill>
                    <w14:schemeClr w14:val="tx1"/>
                  </w14:solidFill>
                </w14:textFill>
              </w:rPr>
              <w:t>Data format: codebook-based Rel-16 eType2 or Rel-18 eType2</w:t>
            </w:r>
            <w:r>
              <w:rPr>
                <w:rFonts w:hint="eastAsia"/>
                <w:color w:val="000000" w:themeColor="text1"/>
                <w:sz w:val="20"/>
                <w:szCs w:val="20"/>
                <w:lang w:val="en-GB"/>
                <w14:textFill>
                  <w14:solidFill>
                    <w14:schemeClr w14:val="tx1"/>
                  </w14:solidFill>
                </w14:textFill>
              </w:rPr>
              <w:t xml:space="preserve"> for PMI prediction</w:t>
            </w:r>
            <w:r>
              <w:rPr>
                <w:color w:val="000000" w:themeColor="text1"/>
                <w:sz w:val="20"/>
                <w:szCs w:val="20"/>
                <w:lang w:val="en-GB" w:eastAsia="en-US"/>
                <w14:textFill>
                  <w14:solidFill>
                    <w14:schemeClr w14:val="tx1"/>
                  </w14:solidFill>
                </w14:textFill>
              </w:rPr>
              <w:t xml:space="preserve">. </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lang w:val="en-GB" w:eastAsia="en-US"/>
                <w14:textFill>
                  <w14:solidFill>
                    <w14:schemeClr w14:val="tx1"/>
                  </w14:solidFill>
                </w14:textFill>
              </w:rPr>
            </w:pPr>
            <w:r>
              <w:rPr>
                <w:color w:val="000000" w:themeColor="text1"/>
                <w:sz w:val="20"/>
                <w:szCs w:val="20"/>
                <w:lang w:val="en-GB" w:eastAsia="en-US"/>
                <w14:textFill>
                  <w14:solidFill>
                    <w14:schemeClr w14:val="tx1"/>
                  </w14:solidFill>
                </w14:textFill>
              </w:rPr>
              <w:t>FFS if enhancement is needed</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lang w:val="en-GB" w:eastAsia="en-US"/>
                <w14:textFill>
                  <w14:solidFill>
                    <w14:schemeClr w14:val="tx1"/>
                  </w14:solidFill>
                </w14:textFill>
              </w:rPr>
            </w:pPr>
            <w:r>
              <w:rPr>
                <w:color w:val="000000" w:themeColor="text1"/>
                <w:sz w:val="20"/>
                <w:szCs w:val="20"/>
                <w:lang w:val="en-GB" w:eastAsia="en-US"/>
                <w14:textFill>
                  <w14:solidFill>
                    <w14:schemeClr w14:val="tx1"/>
                  </w14:solidFill>
                </w14:textFill>
              </w:rPr>
              <w:t xml:space="preserve">FFS number of samples in the report. </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lang w:val="en-GB" w:eastAsia="en-US"/>
                <w14:textFill>
                  <w14:solidFill>
                    <w14:schemeClr w14:val="tx1"/>
                  </w14:solidFill>
                </w14:textFill>
              </w:rPr>
            </w:pPr>
            <w:r>
              <w:rPr>
                <w:color w:val="000000" w:themeColor="text1"/>
                <w:sz w:val="20"/>
                <w:szCs w:val="20"/>
                <w:lang w:val="en-GB" w:eastAsia="en-US"/>
                <w14:textFill>
                  <w14:solidFill>
                    <w14:schemeClr w14:val="tx1"/>
                  </w14:solidFill>
                </w14:textFill>
              </w:rPr>
              <w:t>FFS whether channel or precoder is needed for temporal Cases 3</w:t>
            </w:r>
          </w:p>
          <w:p>
            <w:pPr>
              <w:numPr>
                <w:ilvl w:val="0"/>
                <w:numId w:val="15"/>
              </w:numPr>
              <w:suppressAutoHyphens/>
              <w:adjustRightInd w:val="0"/>
              <w:snapToGrid w:val="0"/>
              <w:spacing w:before="72" w:beforeLines="30" w:after="72" w:afterLines="30" w:line="288" w:lineRule="auto"/>
              <w:jc w:val="both"/>
              <w:rPr>
                <w:rFonts w:eastAsia="Calibri"/>
                <w:sz w:val="20"/>
                <w:lang w:val="en-GB" w:eastAsia="en-US"/>
              </w:rPr>
            </w:pPr>
            <w:r>
              <w:rPr>
                <w:rFonts w:eastAsia="Calibri"/>
                <w:sz w:val="20"/>
                <w:lang w:val="en-GB" w:eastAsia="en-US"/>
              </w:rPr>
              <w:t>Configuration of rank/layer, number of subbands</w:t>
            </w:r>
          </w:p>
          <w:p>
            <w:pPr>
              <w:numPr>
                <w:ilvl w:val="0"/>
                <w:numId w:val="15"/>
              </w:numPr>
              <w:suppressAutoHyphens/>
              <w:adjustRightInd w:val="0"/>
              <w:snapToGrid w:val="0"/>
              <w:spacing w:before="72" w:beforeLines="30" w:after="72" w:afterLines="30" w:line="288" w:lineRule="auto"/>
              <w:jc w:val="both"/>
              <w:rPr>
                <w:rFonts w:eastAsia="Calibri"/>
                <w:sz w:val="20"/>
                <w:lang w:val="en-GB" w:eastAsia="en-US"/>
              </w:rPr>
            </w:pPr>
            <w:r>
              <w:rPr>
                <w:rFonts w:eastAsia="Calibri"/>
                <w:sz w:val="20"/>
                <w:lang w:val="en-GB" w:eastAsia="en-US"/>
              </w:rPr>
              <w:t>Mechanism for ground-truth reporting</w:t>
            </w:r>
          </w:p>
          <w:p>
            <w:pPr>
              <w:numPr>
                <w:ilvl w:val="0"/>
                <w:numId w:val="15"/>
              </w:numPr>
              <w:suppressAutoHyphens/>
              <w:adjustRightInd w:val="0"/>
              <w:snapToGrid w:val="0"/>
              <w:spacing w:before="72" w:beforeLines="30" w:after="72" w:afterLines="30" w:line="288" w:lineRule="auto"/>
              <w:jc w:val="both"/>
              <w:rPr>
                <w:rFonts w:eastAsia="Calibri"/>
                <w:sz w:val="20"/>
                <w:lang w:val="en-GB" w:eastAsia="en-US"/>
              </w:rPr>
            </w:pPr>
            <w:r>
              <w:rPr>
                <w:rFonts w:hint="eastAsia" w:eastAsia="等线"/>
                <w:sz w:val="20"/>
                <w:lang w:val="en-GB"/>
              </w:rPr>
              <w:t xml:space="preserve">FFS: </w:t>
            </w:r>
            <w:r>
              <w:rPr>
                <w:rFonts w:hint="eastAsia" w:eastAsia="Calibri"/>
                <w:sz w:val="20"/>
                <w:lang w:val="en-GB" w:eastAsia="en-US"/>
              </w:rPr>
              <w:t xml:space="preserve">Report </w:t>
            </w:r>
            <w:r>
              <w:rPr>
                <w:rFonts w:eastAsia="Calibri"/>
                <w:sz w:val="20"/>
                <w:lang w:val="en-GB" w:eastAsia="en-US"/>
              </w:rPr>
              <w:t>additional information regarding the samples, e.g., data</w:t>
            </w:r>
            <w:r>
              <w:rPr>
                <w:sz w:val="20"/>
                <w:lang w:val="en-GB"/>
              </w:rPr>
              <w:t xml:space="preserve"> quality</w:t>
            </w:r>
            <w:r>
              <w:rPr>
                <w:rFonts w:hint="eastAsia"/>
                <w:sz w:val="20"/>
                <w:lang w:val="en-GB"/>
              </w:rPr>
              <w:t xml:space="preserve">, FFS the definition of </w:t>
            </w:r>
            <w:r>
              <w:rPr>
                <w:rFonts w:eastAsia="Calibri"/>
                <w:sz w:val="20"/>
                <w:lang w:val="en-GB" w:eastAsia="en-US"/>
              </w:rPr>
              <w:t>data</w:t>
            </w:r>
            <w:r>
              <w:rPr>
                <w:sz w:val="20"/>
                <w:lang w:val="en-GB"/>
              </w:rPr>
              <w:t xml:space="preserve"> </w:t>
            </w:r>
            <w:r>
              <w:rPr>
                <w:rFonts w:hint="eastAsia"/>
                <w:sz w:val="20"/>
                <w:lang w:val="en-GB"/>
              </w:rPr>
              <w:t xml:space="preserve">quality and </w:t>
            </w:r>
            <w:r>
              <w:rPr>
                <w:sz w:val="20"/>
                <w:lang w:val="en-GB"/>
              </w:rPr>
              <w:t>corresponding</w:t>
            </w:r>
            <w:r>
              <w:rPr>
                <w:rFonts w:hint="eastAsia"/>
                <w:sz w:val="20"/>
                <w:lang w:val="en-GB"/>
              </w:rPr>
              <w:t xml:space="preserve"> parameters.</w:t>
            </w:r>
          </w:p>
          <w:p>
            <w:pPr>
              <w:numPr>
                <w:ilvl w:val="0"/>
                <w:numId w:val="15"/>
              </w:numPr>
              <w:suppressAutoHyphens/>
              <w:adjustRightInd w:val="0"/>
              <w:snapToGrid w:val="0"/>
              <w:spacing w:before="72" w:beforeLines="30" w:after="72" w:afterLines="30" w:line="288" w:lineRule="auto"/>
              <w:jc w:val="both"/>
              <w:rPr>
                <w:rFonts w:eastAsia="Calibri"/>
                <w:sz w:val="20"/>
                <w:lang w:val="en-GB" w:eastAsia="en-US"/>
              </w:rPr>
            </w:pPr>
            <w:r>
              <w:rPr>
                <w:rFonts w:eastAsia="Calibri"/>
                <w:sz w:val="20"/>
                <w:lang w:val="en-GB" w:eastAsia="en-US"/>
              </w:rPr>
              <w:t>FFS if enhancements in CSI-RS</w:t>
            </w:r>
            <w:r>
              <w:rPr>
                <w:rFonts w:hint="eastAsia" w:eastAsia="等线"/>
                <w:sz w:val="20"/>
                <w:lang w:val="en-GB"/>
              </w:rPr>
              <w:t xml:space="preserve"> and SRS</w:t>
            </w:r>
            <w:r>
              <w:rPr>
                <w:rFonts w:eastAsia="Calibri"/>
                <w:sz w:val="20"/>
                <w:lang w:val="en-GB" w:eastAsia="en-US"/>
              </w:rPr>
              <w:t xml:space="preserve"> configuration is needed. </w:t>
            </w:r>
          </w:p>
          <w:p>
            <w:pPr>
              <w:numPr>
                <w:ilvl w:val="0"/>
                <w:numId w:val="15"/>
              </w:numPr>
              <w:suppressAutoHyphens/>
              <w:adjustRightInd w:val="0"/>
              <w:snapToGrid w:val="0"/>
              <w:spacing w:before="72" w:beforeLines="30" w:after="72" w:afterLines="30" w:line="288" w:lineRule="auto"/>
              <w:jc w:val="both"/>
              <w:rPr>
                <w:rFonts w:eastAsia="Calibri"/>
                <w:sz w:val="20"/>
                <w:lang w:val="en-GB" w:eastAsia="en-US"/>
              </w:rPr>
            </w:pPr>
            <w:r>
              <w:rPr>
                <w:rFonts w:eastAsia="Calibri"/>
                <w:sz w:val="20"/>
                <w:lang w:val="en-GB" w:eastAsia="en-US"/>
              </w:rPr>
              <w:t>FFS: Report associated information that captures UE side additional condition</w:t>
            </w:r>
          </w:p>
          <w:p>
            <w:pPr>
              <w:numPr>
                <w:ilvl w:val="0"/>
                <w:numId w:val="15"/>
              </w:numPr>
              <w:suppressAutoHyphens/>
              <w:adjustRightInd w:val="0"/>
              <w:snapToGrid w:val="0"/>
              <w:spacing w:before="72" w:beforeLines="30" w:after="72" w:afterLines="30" w:line="288" w:lineRule="auto"/>
              <w:jc w:val="both"/>
              <w:rPr>
                <w:rFonts w:eastAsia="Calibri"/>
                <w:sz w:val="20"/>
                <w:lang w:val="en-GB" w:eastAsia="en-US"/>
              </w:rPr>
            </w:pPr>
            <w:r>
              <w:rPr>
                <w:rFonts w:eastAsia="Calibri"/>
                <w:sz w:val="20"/>
                <w:lang w:val="en-GB" w:eastAsia="en-US"/>
              </w:rPr>
              <w:t>FFS: Configuration / reporting of temporal aspects for temporal Case 2 and Case 3, e.g., association between input and output CSI</w:t>
            </w:r>
          </w:p>
          <w:p>
            <w:pPr>
              <w:numPr>
                <w:ilvl w:val="0"/>
                <w:numId w:val="15"/>
              </w:numPr>
              <w:suppressAutoHyphens/>
              <w:adjustRightInd w:val="0"/>
              <w:snapToGrid w:val="0"/>
              <w:spacing w:before="72" w:beforeLines="30" w:after="72" w:afterLines="30" w:line="288" w:lineRule="auto"/>
              <w:jc w:val="both"/>
              <w:rPr>
                <w:rFonts w:eastAsia="Times New Roman"/>
                <w:sz w:val="20"/>
                <w:szCs w:val="20"/>
              </w:rPr>
            </w:pPr>
            <w:r>
              <w:rPr>
                <w:rFonts w:hint="eastAsia" w:eastAsia="等线"/>
                <w:sz w:val="20"/>
                <w:lang w:val="en-GB"/>
              </w:rPr>
              <w:t>FFS: details of CSI measurement</w:t>
            </w:r>
          </w:p>
        </w:tc>
      </w:tr>
    </w:tbl>
    <w:p>
      <w:pPr>
        <w:snapToGrid w:val="0"/>
        <w:spacing w:before="72" w:beforeLines="30" w:after="72" w:afterLines="30" w:line="288" w:lineRule="auto"/>
        <w:jc w:val="both"/>
        <w:rPr>
          <w:rFonts w:eastAsia="Times New Roman"/>
          <w:sz w:val="20"/>
          <w:szCs w:val="20"/>
        </w:rPr>
      </w:pPr>
      <w:r>
        <w:rPr>
          <w:rFonts w:hint="eastAsia" w:eastAsia="Times New Roman"/>
          <w:sz w:val="20"/>
          <w:szCs w:val="20"/>
        </w:rPr>
        <w:t>For NW side data collection for training, CSI resources for channel measurement will be transmitted to the UE and then the UE reported the target CSI to the NW side for training purpose. Since the training data collection is not latency sensitive and involves a large amount of data samples exchanging, the MDT framework defined in BM and CSI prediction use cases could be reused. Notably, in the MDT framework, the maximum payload size per reporting is 9 Kbyte and the AS buffer size is 64 Kbyte, which can also be further extended depending on further RAN2 progress. Therefore, it can be concluded that the reporting overhead for training data collection is no longer a big concern.</w:t>
      </w:r>
    </w:p>
    <w:p>
      <w:pPr>
        <w:pStyle w:val="38"/>
        <w:snapToGrid w:val="0"/>
        <w:spacing w:before="72" w:after="72"/>
        <w:jc w:val="both"/>
        <w:rPr>
          <w:sz w:val="20"/>
          <w:szCs w:val="20"/>
          <w:lang w:val="en-US"/>
        </w:rPr>
      </w:pPr>
      <w:r>
        <w:rPr>
          <w:rFonts w:hint="eastAsia"/>
          <w:sz w:val="20"/>
          <w:szCs w:val="20"/>
          <w:lang w:val="en-US"/>
        </w:rPr>
        <w:t>For NW side data collection for training, reuse the MDT framework defined in BM and CSI prediction use cases.</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For NW side data collection for training, the target CSI type shall be aligned with that defined for model inference, which may be precoding matrix or explicit channel matrix. Regarding the target CSI format, it</w:t>
      </w:r>
      <w:r>
        <w:rPr>
          <w:rFonts w:eastAsia="Times New Roman"/>
          <w:sz w:val="20"/>
          <w:szCs w:val="20"/>
        </w:rPr>
        <w:t>’</w:t>
      </w:r>
      <w:r>
        <w:rPr>
          <w:rFonts w:hint="eastAsia" w:eastAsia="Times New Roman"/>
          <w:sz w:val="20"/>
          <w:szCs w:val="20"/>
        </w:rPr>
        <w:t>s noted that different alternatives have been identified by companies and well evaluated during Rel-18, such as Float32, Float16, R16 eType II CB with legacy parameters, R16 eType II CB with new parameters. It was then concluded that compared to the upper-bound of Float32, quantized high resolution ground-truth CSI can achieve significant overhead reduction with minor performance loss if the parameters are appropriately selected. Particularly, R16 eType II CB with new parameter of 1000-1400bits CSI payload size achieves 95%~97.5% overhead reduction with performance gain of 0.7%~4.3% over PC#8. Since the allowed payload size is relatively large in the MDT framework, we suggest to use higher resolution codebook based quantization (e.g., R16 eType II CB with new parameter) for target CSI reporting for better tradeoff between model performance and reporting overhead.</w:t>
      </w:r>
    </w:p>
    <w:p>
      <w:pPr>
        <w:pStyle w:val="38"/>
        <w:snapToGrid w:val="0"/>
        <w:spacing w:before="72" w:after="72"/>
        <w:jc w:val="both"/>
        <w:rPr>
          <w:sz w:val="20"/>
          <w:szCs w:val="20"/>
          <w:lang w:val="en-US"/>
        </w:rPr>
      </w:pPr>
      <w:r>
        <w:rPr>
          <w:rFonts w:hint="eastAsia"/>
          <w:sz w:val="20"/>
          <w:szCs w:val="20"/>
          <w:lang w:val="en-US"/>
        </w:rPr>
        <w:t>For NW side data collection for training, support R16 eType II CB with new parameter as the target CSI type for higher achievable inference performance.</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For NW side data collection for training, the quality of data reported by different UEs can vary significantly. For instance, data collected by UEs at the cell edge may suffer from low signal strength and severe interference from neighboring cells, resulting in poor data quality that is detrimental to effective model training. There are two potential solutions for addressing this issue. First, UEs could report auxiliary information along with the collected data - such as SINR, CQI, or positioning information - enabling the network to assess the data quality and determine whether and how to utilize it for training. Second, the network could pre-configure a data quality threshold to the UE. The UE would then evaluate whether the collected data meets the threshold and only report data that satisfies the quality criteria. Therefore, we propose further study on the potential specification impacts related to data quality management for NW-side data collection.</w:t>
      </w:r>
    </w:p>
    <w:p>
      <w:pPr>
        <w:pStyle w:val="38"/>
        <w:snapToGrid w:val="0"/>
        <w:spacing w:before="72" w:after="72"/>
        <w:jc w:val="both"/>
        <w:rPr>
          <w:sz w:val="20"/>
          <w:szCs w:val="20"/>
          <w:lang w:val="en-US"/>
        </w:rPr>
      </w:pPr>
      <w:r>
        <w:rPr>
          <w:rFonts w:hint="eastAsia"/>
          <w:sz w:val="20"/>
          <w:szCs w:val="20"/>
          <w:lang w:val="en-US"/>
        </w:rPr>
        <w:t>To enable high-quality data collection from the UE to the NW, further study the following options:</w:t>
      </w:r>
    </w:p>
    <w:p>
      <w:pPr>
        <w:pStyle w:val="38"/>
        <w:numPr>
          <w:ilvl w:val="0"/>
          <w:numId w:val="16"/>
        </w:numPr>
        <w:snapToGrid w:val="0"/>
        <w:spacing w:before="72" w:after="72"/>
        <w:jc w:val="both"/>
        <w:rPr>
          <w:sz w:val="20"/>
          <w:szCs w:val="20"/>
          <w:lang w:val="en-US"/>
        </w:rPr>
      </w:pPr>
      <w:r>
        <w:rPr>
          <w:rFonts w:hint="eastAsia"/>
          <w:sz w:val="20"/>
          <w:szCs w:val="20"/>
          <w:lang w:val="en-US"/>
        </w:rPr>
        <w:t>The UE reports data quality-related information to the NW, e.g., SINR, CQI, positioning information</w:t>
      </w:r>
    </w:p>
    <w:p>
      <w:pPr>
        <w:pStyle w:val="38"/>
        <w:numPr>
          <w:ilvl w:val="0"/>
          <w:numId w:val="16"/>
        </w:numPr>
        <w:snapToGrid w:val="0"/>
        <w:spacing w:before="72" w:after="72"/>
        <w:jc w:val="both"/>
        <w:rPr>
          <w:sz w:val="20"/>
          <w:szCs w:val="20"/>
          <w:lang w:val="en-US"/>
        </w:rPr>
      </w:pPr>
      <w:r>
        <w:rPr>
          <w:rFonts w:hint="eastAsia"/>
          <w:sz w:val="20"/>
          <w:szCs w:val="20"/>
          <w:lang w:val="en-US"/>
        </w:rPr>
        <w:t xml:space="preserve">The NW configures a data quality threshold to the UE and the UE only reports qualified </w:t>
      </w:r>
      <w:r>
        <w:rPr>
          <w:sz w:val="20"/>
          <w:szCs w:val="20"/>
          <w:lang w:val="en-US"/>
        </w:rPr>
        <w:t>data</w:t>
      </w:r>
    </w:p>
    <w:p>
      <w:pPr>
        <w:pStyle w:val="38"/>
        <w:numPr>
          <w:ilvl w:val="0"/>
          <w:numId w:val="0"/>
        </w:numPr>
        <w:snapToGrid w:val="0"/>
        <w:spacing w:before="72" w:after="72"/>
        <w:jc w:val="both"/>
        <w:rPr>
          <w:sz w:val="20"/>
          <w:szCs w:val="20"/>
          <w:lang w:val="en-US"/>
        </w:rPr>
      </w:pPr>
    </w:p>
    <w:p>
      <w:pPr>
        <w:numPr>
          <w:ilvl w:val="0"/>
          <w:numId w:val="13"/>
        </w:numPr>
        <w:snapToGrid w:val="0"/>
        <w:spacing w:before="72" w:beforeLines="30" w:after="72" w:afterLines="30" w:line="288" w:lineRule="auto"/>
        <w:jc w:val="both"/>
        <w:rPr>
          <w:rFonts w:eastAsia="Times New Roman"/>
          <w:b/>
          <w:bCs/>
          <w:sz w:val="20"/>
          <w:szCs w:val="20"/>
        </w:rPr>
      </w:pPr>
      <w:r>
        <w:rPr>
          <w:rFonts w:hint="eastAsia" w:eastAsia="Times New Roman"/>
          <w:b/>
          <w:bCs/>
          <w:sz w:val="20"/>
          <w:szCs w:val="20"/>
        </w:rPr>
        <w:t>UE-side training data collection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For UE-side training data collection, some potential spec impacts were identified by companies in Rel-19 and the following agreement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72" w:beforeLines="30" w:after="72" w:afterLines="30" w:line="288" w:lineRule="auto"/>
              <w:jc w:val="both"/>
              <w:rPr>
                <w:rFonts w:eastAsia="t"/>
                <w:b/>
                <w:sz w:val="20"/>
                <w:u w:val="single"/>
                <w:lang w:val="en-GB"/>
              </w:rPr>
            </w:pPr>
            <w:r>
              <w:rPr>
                <w:rFonts w:hint="eastAsia" w:eastAsia="t"/>
                <w:b/>
                <w:sz w:val="20"/>
                <w:u w:val="single"/>
              </w:rPr>
              <w:t>Agreement</w:t>
            </w:r>
          </w:p>
          <w:p>
            <w:pPr>
              <w:overflowPunct w:val="0"/>
              <w:autoSpaceDE w:val="0"/>
              <w:autoSpaceDN w:val="0"/>
              <w:adjustRightInd w:val="0"/>
              <w:snapToGrid w:val="0"/>
              <w:spacing w:before="72" w:beforeLines="30" w:after="72" w:afterLines="30" w:line="288" w:lineRule="auto"/>
              <w:jc w:val="both"/>
              <w:textAlignment w:val="baseline"/>
              <w:rPr>
                <w:sz w:val="20"/>
                <w:szCs w:val="20"/>
                <w:lang w:eastAsia="en-US"/>
              </w:rPr>
            </w:pPr>
            <w:r>
              <w:rPr>
                <w:sz w:val="20"/>
                <w:szCs w:val="20"/>
                <w:lang w:eastAsia="en-US"/>
              </w:rPr>
              <w:t>For UE to collect data for training, study following spec impacts</w:t>
            </w:r>
          </w:p>
          <w:p>
            <w:pPr>
              <w:numPr>
                <w:ilvl w:val="0"/>
                <w:numId w:val="15"/>
              </w:numPr>
              <w:suppressAutoHyphens/>
              <w:adjustRightInd w:val="0"/>
              <w:snapToGrid w:val="0"/>
              <w:spacing w:before="72" w:beforeLines="30" w:after="72" w:afterLines="30" w:line="288" w:lineRule="auto"/>
              <w:jc w:val="both"/>
              <w:rPr>
                <w:rFonts w:eastAsia="等线"/>
                <w:sz w:val="20"/>
                <w:lang w:val="en-GB" w:eastAsia="en-US"/>
              </w:rPr>
            </w:pPr>
            <w:r>
              <w:rPr>
                <w:rFonts w:hint="eastAsia" w:eastAsia="等线"/>
                <w:sz w:val="20"/>
                <w:lang w:val="en-GB" w:eastAsia="en-US"/>
              </w:rPr>
              <w:t>NW configuration or UE request</w:t>
            </w:r>
            <w:r>
              <w:rPr>
                <w:rFonts w:hint="eastAsia" w:eastAsia="等线"/>
                <w:sz w:val="20"/>
                <w:lang w:val="en-GB"/>
              </w:rPr>
              <w:t>, e.g., RS configuration/transmission for data collection</w:t>
            </w:r>
          </w:p>
          <w:p>
            <w:pPr>
              <w:numPr>
                <w:ilvl w:val="0"/>
                <w:numId w:val="15"/>
              </w:numPr>
              <w:suppressAutoHyphens/>
              <w:adjustRightInd w:val="0"/>
              <w:snapToGrid w:val="0"/>
              <w:spacing w:before="72" w:beforeLines="30" w:after="72" w:afterLines="30" w:line="288" w:lineRule="auto"/>
              <w:jc w:val="both"/>
              <w:rPr>
                <w:rFonts w:eastAsia="等线"/>
                <w:sz w:val="20"/>
                <w:lang w:val="en-GB" w:eastAsia="en-US"/>
              </w:rPr>
            </w:pPr>
            <w:r>
              <w:rPr>
                <w:rFonts w:hint="eastAsia" w:eastAsia="等线"/>
                <w:sz w:val="20"/>
                <w:lang w:val="en-GB" w:eastAsia="en-US"/>
              </w:rPr>
              <w:t>Whether enhancements in CSI-RS configuration is needed.</w:t>
            </w:r>
          </w:p>
          <w:p>
            <w:pPr>
              <w:numPr>
                <w:ilvl w:val="0"/>
                <w:numId w:val="15"/>
              </w:numPr>
              <w:suppressAutoHyphens/>
              <w:adjustRightInd w:val="0"/>
              <w:snapToGrid w:val="0"/>
              <w:spacing w:before="72" w:beforeLines="30" w:after="72" w:afterLines="30" w:line="288" w:lineRule="auto"/>
              <w:jc w:val="both"/>
              <w:rPr>
                <w:rFonts w:eastAsia="等线"/>
                <w:sz w:val="20"/>
              </w:rPr>
            </w:pPr>
            <w:r>
              <w:rPr>
                <w:rFonts w:hint="eastAsia" w:eastAsia="等线"/>
                <w:sz w:val="20"/>
                <w:lang w:val="en-GB" w:eastAsia="en-US"/>
              </w:rPr>
              <w:t>Configuration of temporal aspects for temporal case 2/3, e.g., association between input and output CSI</w:t>
            </w:r>
          </w:p>
          <w:p>
            <w:pPr>
              <w:numPr>
                <w:ilvl w:val="0"/>
                <w:numId w:val="15"/>
              </w:numPr>
              <w:suppressAutoHyphens/>
              <w:adjustRightInd w:val="0"/>
              <w:snapToGrid w:val="0"/>
              <w:spacing w:before="72" w:beforeLines="30" w:after="72" w:afterLines="30" w:line="288" w:lineRule="auto"/>
              <w:jc w:val="both"/>
              <w:rPr>
                <w:rFonts w:eastAsia="Arial Unicode MS"/>
                <w:kern w:val="2"/>
                <w:sz w:val="32"/>
                <w:szCs w:val="20"/>
              </w:rPr>
            </w:pPr>
            <w:r>
              <w:rPr>
                <w:rFonts w:hint="eastAsia" w:eastAsia="等线"/>
                <w:sz w:val="20"/>
                <w:lang w:val="en-GB" w:eastAsia="en-US"/>
              </w:rPr>
              <w:t xml:space="preserve">FFS: </w:t>
            </w:r>
            <w:r>
              <w:rPr>
                <w:rFonts w:hint="eastAsia" w:eastAsia="等线"/>
                <w:sz w:val="20"/>
                <w:lang w:val="en-GB"/>
              </w:rPr>
              <w:t>Need of c</w:t>
            </w:r>
            <w:r>
              <w:rPr>
                <w:rFonts w:hint="eastAsia" w:eastAsia="等线"/>
                <w:sz w:val="20"/>
                <w:lang w:val="en-GB" w:eastAsia="en-US"/>
              </w:rPr>
              <w:t>onfiguration of ID</w:t>
            </w:r>
            <w:r>
              <w:rPr>
                <w:rFonts w:hint="eastAsia" w:eastAsia="等线"/>
                <w:sz w:val="20"/>
                <w:lang w:val="en-GB"/>
              </w:rPr>
              <w:t>, and configuration of ID</w:t>
            </w:r>
          </w:p>
        </w:tc>
      </w:tr>
    </w:tbl>
    <w:p>
      <w:pPr>
        <w:snapToGrid w:val="0"/>
        <w:spacing w:before="72" w:beforeLines="30" w:after="72" w:afterLines="30" w:line="288" w:lineRule="auto"/>
        <w:jc w:val="both"/>
        <w:rPr>
          <w:rFonts w:eastAsia="Times New Roman"/>
          <w:sz w:val="20"/>
          <w:szCs w:val="20"/>
        </w:rPr>
      </w:pPr>
      <w:r>
        <w:rPr>
          <w:rFonts w:hint="eastAsia" w:eastAsia="Times New Roman"/>
          <w:sz w:val="20"/>
          <w:szCs w:val="20"/>
        </w:rPr>
        <w:t>Similar as that defined for AI/ML beam management and CSI prediction, a CSI report configuration can be used for configuring the CSI-RS resources for UE-side training data collection purpose. The report quantity of the CSI report configuration can be set to none to imply that there is no CSI report. The time domain behaviour of the CSI-RS resources can be set to periodic or semi-persistent, while the aperiodic CSI RS resource type shall not be supported for training data collection due to extensive DCI overhead. Some additional information may also need to configure to the UE in the CSI report configuration for data collection, which can be further clarified. For example, the pairing ID may be provided to the UE, to ensure the offline engineering at the NW and UE side are based on the same dataset and thus data distribution mismatch regarding NW-side additional condition and UE-side additional condition can be avoided.</w:t>
      </w:r>
    </w:p>
    <w:p>
      <w:pPr>
        <w:pStyle w:val="38"/>
        <w:snapToGrid w:val="0"/>
        <w:spacing w:before="72" w:after="72"/>
        <w:jc w:val="both"/>
        <w:rPr>
          <w:sz w:val="20"/>
          <w:szCs w:val="20"/>
          <w:lang w:val="en-US"/>
        </w:rPr>
      </w:pPr>
      <w:r>
        <w:rPr>
          <w:rFonts w:hint="eastAsia"/>
          <w:sz w:val="20"/>
          <w:szCs w:val="20"/>
          <w:lang w:val="en-US"/>
        </w:rPr>
        <w:t>For UE-side training data collection, CSI report configuration can be used for configuring the CSI-RS resources for channel measurement, which can be set to periodic or semi-persistent.</w:t>
      </w:r>
    </w:p>
    <w:p>
      <w:pPr>
        <w:snapToGrid w:val="0"/>
        <w:spacing w:before="72" w:beforeLines="30" w:after="72" w:afterLines="30" w:line="288" w:lineRule="auto"/>
        <w:jc w:val="both"/>
        <w:rPr>
          <w:rFonts w:eastAsia="Times New Roman"/>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Performance monitoring</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In Rel-19, the following agreement related to performance monitoring based on intermediate KPIs were achieved. Generally, the NW-side performance monitoring with target CSI reporting is more reliable and shall be the prerequisite of UE-side performance monitoring, but may result in relatively large reporting overhead.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rFonts w:eastAsia="t"/>
                <w:b/>
                <w:sz w:val="20"/>
                <w:szCs w:val="20"/>
                <w:u w:val="single"/>
              </w:rPr>
            </w:pPr>
            <w:r>
              <w:rPr>
                <w:rFonts w:hint="eastAsia" w:eastAsia="t"/>
                <w:b/>
                <w:sz w:val="20"/>
                <w:szCs w:val="20"/>
                <w:u w:val="single"/>
              </w:rPr>
              <w:t>Agreement</w:t>
            </w:r>
          </w:p>
          <w:p>
            <w:pPr>
              <w:overflowPunct w:val="0"/>
              <w:autoSpaceDE w:val="0"/>
              <w:autoSpaceDN w:val="0"/>
              <w:adjustRightInd w:val="0"/>
              <w:snapToGrid w:val="0"/>
              <w:spacing w:before="72" w:beforeLines="30" w:after="72" w:afterLines="30" w:line="288" w:lineRule="auto"/>
              <w:jc w:val="both"/>
              <w:textAlignment w:val="baseline"/>
              <w:rPr>
                <w:sz w:val="20"/>
                <w:szCs w:val="20"/>
                <w:lang w:eastAsia="en-US"/>
              </w:rPr>
            </w:pPr>
            <w:r>
              <w:rPr>
                <w:sz w:val="20"/>
                <w:szCs w:val="20"/>
                <w:lang w:eastAsia="en-US"/>
              </w:rPr>
              <w:t>Further study following monitoring options in Rel-19</w:t>
            </w:r>
            <w:r>
              <w:rPr>
                <w:rFonts w:hint="eastAsia"/>
                <w:sz w:val="20"/>
                <w:szCs w:val="20"/>
                <w:lang w:eastAsia="en-US"/>
              </w:rPr>
              <w:t xml:space="preserve">, including the necessity and feasibility, </w:t>
            </w:r>
          </w:p>
          <w:p>
            <w:pPr>
              <w:numPr>
                <w:ilvl w:val="0"/>
                <w:numId w:val="15"/>
              </w:numPr>
              <w:suppressAutoHyphens/>
              <w:adjustRightInd w:val="0"/>
              <w:snapToGrid w:val="0"/>
              <w:spacing w:before="72" w:beforeLines="30" w:after="72" w:afterLines="30" w:line="288" w:lineRule="auto"/>
              <w:jc w:val="both"/>
              <w:rPr>
                <w:rFonts w:eastAsia="等线"/>
                <w:sz w:val="20"/>
                <w:szCs w:val="20"/>
              </w:rPr>
            </w:pPr>
            <w:r>
              <w:rPr>
                <w:rFonts w:hint="eastAsia" w:eastAsia="等线"/>
                <w:sz w:val="20"/>
                <w:szCs w:val="20"/>
              </w:rPr>
              <w:t>NW-side monitoring, considering overhead, latency, complexity, monitoring accuracy, UE capability</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Based on the target CSI reported by the UE via legacy eT2 codebook or eT2-like high-resolution codebook (Case 1)</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SRS-based monitoring</w:t>
            </w:r>
          </w:p>
          <w:p>
            <w:pPr>
              <w:numPr>
                <w:ilvl w:val="0"/>
                <w:numId w:val="15"/>
              </w:numPr>
              <w:suppressAutoHyphens/>
              <w:adjustRightInd w:val="0"/>
              <w:snapToGrid w:val="0"/>
              <w:spacing w:before="72" w:beforeLines="30" w:after="72" w:afterLines="30" w:line="288" w:lineRule="auto"/>
              <w:jc w:val="both"/>
              <w:rPr>
                <w:rFonts w:eastAsia="等线"/>
                <w:sz w:val="20"/>
                <w:szCs w:val="20"/>
              </w:rPr>
            </w:pPr>
            <w:r>
              <w:rPr>
                <w:rFonts w:hint="eastAsia" w:eastAsia="等线"/>
                <w:sz w:val="20"/>
                <w:szCs w:val="20"/>
              </w:rPr>
              <w:t>UE-side monitoring, considering overhead, latency, complexity, monitoring accuracy, UE capability</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Based on the output of the CSI reconstruction model at the UE (Case 2-1)</w:t>
            </w:r>
          </w:p>
          <w:p>
            <w:pPr>
              <w:numPr>
                <w:ilvl w:val="2"/>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 CSI reconstruction model at the UE-side can be the same as the actual CSI reconstruction model used at the NW-side, a reference model provided by NW, or a proxy model developed by the UE side.</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Via direct estimation of intermediate KPI (e.g., SGCS) without reconstructing a target CSI (Case 2-2)</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Via estimation of monitoring output other than intermediate KPI</w:t>
            </w:r>
            <w:r>
              <w:rPr>
                <w:rFonts w:hint="eastAsia"/>
                <w:color w:val="000000" w:themeColor="text1"/>
                <w:sz w:val="20"/>
                <w:szCs w:val="20"/>
                <w14:textFill>
                  <w14:solidFill>
                    <w14:schemeClr w14:val="tx1"/>
                  </w14:solidFill>
                </w14:textFill>
              </w:rPr>
              <w:t xml:space="preserve"> </w:t>
            </w:r>
            <w:r>
              <w:rPr>
                <w:color w:val="000000" w:themeColor="text1"/>
                <w:sz w:val="20"/>
                <w:szCs w:val="20"/>
                <w14:textFill>
                  <w14:solidFill>
                    <w14:schemeClr w14:val="tx1"/>
                  </w14:solidFill>
                </w14:textFill>
              </w:rPr>
              <w:t>without reconstructing a target CSI</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Based on precoded RS (e.g., CSI-RS, DMRS) transmitted from NW based on the output of the CSI reconstruction model </w:t>
            </w:r>
          </w:p>
          <w:p>
            <w:pPr>
              <w:numPr>
                <w:ilvl w:val="1"/>
                <w:numId w:val="14"/>
              </w:numPr>
              <w:tabs>
                <w:tab w:val="left" w:pos="1440"/>
              </w:tabs>
              <w:overflowPunct w:val="0"/>
              <w:autoSpaceDE w:val="0"/>
              <w:autoSpaceDN w:val="0"/>
              <w:adjustRightInd w:val="0"/>
              <w:snapToGrid w:val="0"/>
              <w:spacing w:before="72" w:beforeLines="30" w:after="72" w:afterLines="30" w:line="288" w:lineRule="auto"/>
              <w:jc w:val="both"/>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Based on the output of the CSI reconstruction model indicated by the NW via legacy eT2 codebook or eT2-like high-resolution codebook</w:t>
            </w:r>
          </w:p>
          <w:p>
            <w:pPr>
              <w:overflowPunct w:val="0"/>
              <w:autoSpaceDE w:val="0"/>
              <w:autoSpaceDN w:val="0"/>
              <w:adjustRightInd w:val="0"/>
              <w:snapToGrid w:val="0"/>
              <w:spacing w:before="72" w:beforeLines="30" w:after="72" w:afterLines="30" w:line="288" w:lineRule="auto"/>
              <w:jc w:val="both"/>
              <w:textAlignment w:val="baseline"/>
              <w:rPr>
                <w:sz w:val="20"/>
                <w:szCs w:val="20"/>
                <w:lang w:eastAsia="en-US"/>
              </w:rPr>
            </w:pPr>
            <w:r>
              <w:rPr>
                <w:sz w:val="20"/>
                <w:szCs w:val="20"/>
                <w:lang w:eastAsia="en-US"/>
              </w:rPr>
              <w:t>Regarding monitoring metrics:</w:t>
            </w:r>
          </w:p>
          <w:p>
            <w:pPr>
              <w:numPr>
                <w:ilvl w:val="0"/>
                <w:numId w:val="17"/>
              </w:numPr>
              <w:snapToGrid w:val="0"/>
              <w:spacing w:before="72" w:beforeLines="30" w:after="72" w:afterLines="30" w:line="288" w:lineRule="auto"/>
              <w:jc w:val="both"/>
              <w:rPr>
                <w:rFonts w:eastAsia="t"/>
                <w:sz w:val="20"/>
                <w:szCs w:val="20"/>
              </w:rPr>
            </w:pPr>
            <w:r>
              <w:rPr>
                <w:rFonts w:eastAsia="t"/>
                <w:sz w:val="20"/>
                <w:szCs w:val="20"/>
              </w:rPr>
              <w:t>Monitoring accuracy also includes generalization considerations, if applicable.</w:t>
            </w:r>
          </w:p>
          <w:p>
            <w:pPr>
              <w:numPr>
                <w:ilvl w:val="0"/>
                <w:numId w:val="17"/>
              </w:numPr>
              <w:snapToGrid w:val="0"/>
              <w:spacing w:before="72" w:beforeLines="30" w:after="72" w:afterLines="30" w:line="288" w:lineRule="auto"/>
              <w:jc w:val="both"/>
              <w:rPr>
                <w:rFonts w:eastAsia="t"/>
                <w:sz w:val="20"/>
                <w:szCs w:val="20"/>
              </w:rPr>
            </w:pPr>
            <w:r>
              <w:rPr>
                <w:rFonts w:eastAsia="t"/>
                <w:sz w:val="20"/>
                <w:szCs w:val="20"/>
              </w:rPr>
              <w:t>Complexity also includes LCM complexity, if applicable.</w:t>
            </w:r>
          </w:p>
          <w:p>
            <w:pPr>
              <w:numPr>
                <w:ilvl w:val="0"/>
                <w:numId w:val="17"/>
              </w:numPr>
              <w:snapToGrid w:val="0"/>
              <w:spacing w:before="72" w:beforeLines="30" w:after="72" w:afterLines="30" w:line="288" w:lineRule="auto"/>
              <w:jc w:val="both"/>
              <w:rPr>
                <w:rFonts w:eastAsia="t"/>
                <w:sz w:val="20"/>
                <w:szCs w:val="20"/>
              </w:rPr>
            </w:pPr>
            <w:r>
              <w:rPr>
                <w:rFonts w:eastAsia="t"/>
                <w:sz w:val="20"/>
                <w:szCs w:val="20"/>
              </w:rPr>
              <w:t>Monitoring overhead, latency, complexity, and accuracy analysis may have to consider using at N&gt;1 CSI feedback occasions.</w:t>
            </w:r>
          </w:p>
          <w:p>
            <w:pPr>
              <w:numPr>
                <w:ilvl w:val="0"/>
                <w:numId w:val="17"/>
              </w:numPr>
              <w:snapToGrid w:val="0"/>
              <w:spacing w:before="72" w:beforeLines="30" w:after="72" w:afterLines="30" w:line="288" w:lineRule="auto"/>
              <w:jc w:val="both"/>
              <w:rPr>
                <w:rFonts w:eastAsia="t"/>
                <w:sz w:val="20"/>
                <w:szCs w:val="20"/>
              </w:rPr>
            </w:pPr>
            <w:r>
              <w:rPr>
                <w:rFonts w:hint="eastAsia" w:eastAsia="等线"/>
                <w:sz w:val="20"/>
                <w:szCs w:val="20"/>
              </w:rPr>
              <w:t>T</w:t>
            </w:r>
            <w:r>
              <w:rPr>
                <w:rFonts w:eastAsia="等线"/>
                <w:sz w:val="20"/>
                <w:szCs w:val="20"/>
              </w:rPr>
              <w:t>estability</w:t>
            </w:r>
            <w:r>
              <w:rPr>
                <w:rFonts w:hint="eastAsia" w:eastAsia="等线"/>
                <w:sz w:val="20"/>
                <w:szCs w:val="20"/>
              </w:rPr>
              <w:t xml:space="preserve"> of UE reported metrics</w:t>
            </w:r>
          </w:p>
          <w:p>
            <w:pPr>
              <w:overflowPunct w:val="0"/>
              <w:autoSpaceDE w:val="0"/>
              <w:autoSpaceDN w:val="0"/>
              <w:adjustRightInd w:val="0"/>
              <w:snapToGrid w:val="0"/>
              <w:spacing w:before="72" w:beforeLines="30" w:after="72" w:afterLines="30" w:line="288" w:lineRule="auto"/>
              <w:jc w:val="both"/>
              <w:textAlignment w:val="baseline"/>
              <w:rPr>
                <w:sz w:val="20"/>
                <w:szCs w:val="20"/>
                <w:lang w:eastAsia="en-US"/>
              </w:rPr>
            </w:pPr>
            <w:r>
              <w:rPr>
                <w:sz w:val="20"/>
                <w:szCs w:val="20"/>
                <w:lang w:eastAsia="en-US"/>
              </w:rPr>
              <w:t>Discussion may include the following aspects:</w:t>
            </w:r>
          </w:p>
          <w:p>
            <w:pPr>
              <w:numPr>
                <w:ilvl w:val="0"/>
                <w:numId w:val="17"/>
              </w:numPr>
              <w:snapToGrid w:val="0"/>
              <w:spacing w:before="72" w:beforeLines="30" w:after="72" w:afterLines="30" w:line="288" w:lineRule="auto"/>
              <w:jc w:val="both"/>
              <w:rPr>
                <w:rFonts w:eastAsia="t"/>
                <w:sz w:val="20"/>
                <w:szCs w:val="20"/>
              </w:rPr>
            </w:pPr>
            <w:r>
              <w:rPr>
                <w:rFonts w:eastAsia="t"/>
                <w:sz w:val="20"/>
                <w:szCs w:val="20"/>
              </w:rPr>
              <w:t xml:space="preserve">Consideration of Options 1-5 and their </w:t>
            </w:r>
            <w:r>
              <w:rPr>
                <w:rFonts w:hint="eastAsia"/>
                <w:sz w:val="20"/>
                <w:szCs w:val="20"/>
              </w:rPr>
              <w:t>option</w:t>
            </w:r>
            <w:r>
              <w:rPr>
                <w:rFonts w:eastAsia="t"/>
                <w:sz w:val="20"/>
                <w:szCs w:val="20"/>
              </w:rPr>
              <w:t>s for alleviating / resolving the issues related to inter-vendor training collaboration</w:t>
            </w:r>
          </w:p>
          <w:p>
            <w:pPr>
              <w:numPr>
                <w:ilvl w:val="0"/>
                <w:numId w:val="17"/>
              </w:numPr>
              <w:snapToGrid w:val="0"/>
              <w:spacing w:before="72" w:beforeLines="30" w:after="72" w:afterLines="30" w:line="288" w:lineRule="auto"/>
              <w:jc w:val="both"/>
              <w:rPr>
                <w:rFonts w:eastAsia="t"/>
                <w:sz w:val="20"/>
                <w:szCs w:val="20"/>
              </w:rPr>
            </w:pPr>
            <w:r>
              <w:rPr>
                <w:rFonts w:eastAsia="t"/>
                <w:sz w:val="20"/>
                <w:szCs w:val="20"/>
              </w:rPr>
              <w:t>Temporal domain aspects of CSI compression</w:t>
            </w:r>
          </w:p>
          <w:p>
            <w:pPr>
              <w:numPr>
                <w:ilvl w:val="0"/>
                <w:numId w:val="17"/>
              </w:numPr>
              <w:snapToGrid w:val="0"/>
              <w:spacing w:before="72" w:beforeLines="30" w:after="72" w:afterLines="30" w:line="288" w:lineRule="auto"/>
              <w:jc w:val="both"/>
              <w:rPr>
                <w:rFonts w:eastAsia="t"/>
                <w:sz w:val="20"/>
                <w:szCs w:val="20"/>
              </w:rPr>
            </w:pPr>
            <w:r>
              <w:rPr>
                <w:rFonts w:eastAsia="t"/>
                <w:sz w:val="20"/>
                <w:szCs w:val="20"/>
              </w:rPr>
              <w:t>How the above monitoring approaches or combination of them may help identifying</w:t>
            </w:r>
            <w:r>
              <w:rPr>
                <w:rFonts w:hint="eastAsia" w:eastAsia="t"/>
                <w:sz w:val="20"/>
                <w:szCs w:val="20"/>
              </w:rPr>
              <w:t xml:space="preserve"> the cause </w:t>
            </w:r>
            <w:r>
              <w:rPr>
                <w:rFonts w:hint="eastAsia" w:eastAsia="等线"/>
                <w:sz w:val="20"/>
                <w:szCs w:val="20"/>
              </w:rPr>
              <w:t xml:space="preserve">(e.g., NW side, UE side, data drift) </w:t>
            </w:r>
            <w:r>
              <w:rPr>
                <w:rFonts w:hint="eastAsia" w:eastAsia="t"/>
                <w:sz w:val="20"/>
                <w:szCs w:val="20"/>
              </w:rPr>
              <w:t>of the performance degradation</w:t>
            </w:r>
          </w:p>
          <w:p>
            <w:pPr>
              <w:overflowPunct w:val="0"/>
              <w:autoSpaceDE w:val="0"/>
              <w:autoSpaceDN w:val="0"/>
              <w:adjustRightInd w:val="0"/>
              <w:snapToGrid w:val="0"/>
              <w:spacing w:before="72" w:beforeLines="30" w:after="72" w:afterLines="30" w:line="288" w:lineRule="auto"/>
              <w:jc w:val="both"/>
              <w:textAlignment w:val="baseline"/>
              <w:rPr>
                <w:sz w:val="20"/>
                <w:szCs w:val="20"/>
                <w:lang w:eastAsia="en-US"/>
              </w:rPr>
            </w:pPr>
            <w:r>
              <w:rPr>
                <w:sz w:val="20"/>
                <w:szCs w:val="20"/>
                <w:lang w:eastAsia="en-US"/>
              </w:rPr>
              <w:t>Note: for UE-side monitoring, the final reported monitoring output, if specified, may be different, e.g., be further derived based on the output of the above approaches.</w:t>
            </w:r>
          </w:p>
          <w:p>
            <w:pPr>
              <w:overflowPunct w:val="0"/>
              <w:autoSpaceDE w:val="0"/>
              <w:autoSpaceDN w:val="0"/>
              <w:adjustRightInd w:val="0"/>
              <w:snapToGrid w:val="0"/>
              <w:spacing w:before="72" w:beforeLines="30" w:after="72" w:afterLines="30" w:line="288" w:lineRule="auto"/>
              <w:jc w:val="both"/>
              <w:textAlignment w:val="baseline"/>
              <w:rPr>
                <w:rFonts w:eastAsia="等线"/>
                <w:sz w:val="20"/>
                <w:szCs w:val="20"/>
              </w:rPr>
            </w:pPr>
            <w:r>
              <w:rPr>
                <w:sz w:val="20"/>
                <w:szCs w:val="20"/>
                <w:lang w:eastAsia="en-US"/>
              </w:rPr>
              <w:t>Note: implementation-based monitoring solutions can be considered in assessing the necessity of the above monitoring approaches.</w:t>
            </w:r>
          </w:p>
        </w:tc>
      </w:tr>
    </w:tbl>
    <w:p>
      <w:pPr>
        <w:numPr>
          <w:ilvl w:val="0"/>
          <w:numId w:val="13"/>
        </w:numPr>
        <w:snapToGrid w:val="0"/>
        <w:spacing w:before="72" w:beforeLines="30" w:after="72" w:afterLines="30" w:line="288" w:lineRule="auto"/>
        <w:jc w:val="both"/>
        <w:rPr>
          <w:rFonts w:eastAsia="Times New Roman"/>
          <w:b/>
          <w:bCs/>
          <w:sz w:val="20"/>
          <w:szCs w:val="20"/>
        </w:rPr>
      </w:pPr>
      <w:r>
        <w:rPr>
          <w:rFonts w:hint="eastAsia" w:eastAsia="Times New Roman"/>
          <w:b/>
          <w:bCs/>
          <w:sz w:val="20"/>
          <w:szCs w:val="20"/>
        </w:rPr>
        <w:t>NW-side performance monitoring</w:t>
      </w:r>
    </w:p>
    <w:p>
      <w:pPr>
        <w:snapToGrid w:val="0"/>
        <w:spacing w:before="72" w:beforeLines="30" w:after="72" w:afterLines="30" w:line="288" w:lineRule="auto"/>
        <w:jc w:val="both"/>
        <w:rPr>
          <w:rFonts w:eastAsia="Times New Roman"/>
          <w:sz w:val="20"/>
          <w:szCs w:val="20"/>
        </w:rPr>
      </w:pPr>
      <w:bookmarkStart w:id="0" w:name="_Hlk162705102"/>
      <w:r>
        <w:rPr>
          <w:rFonts w:hint="eastAsia" w:eastAsia="Times New Roman"/>
          <w:sz w:val="20"/>
          <w:szCs w:val="20"/>
        </w:rPr>
        <w:t>For NW-side performance monitoring, the UE shall report ground-truth CSI information to the network for calculating the monitoring metrics, as the network cannot directly obtain the ground-truth label. To enhance the accuracy of NW-side performance monitoring, a higher-resolution ground-truth CSI report is required from the UE. Similar to the approach for data collection, an enhanced Type-II codebook with acceptable reporting overhead can be a promising solution for NW-side performance monitoring. As demonstrated in TR 38.843, this approach provides high monitoring accuracy. Additionally, some companies have proposed using sounding reference signals for NW-side performance monitoring. However, in FDD systems, the channel reciprocity is limited, making it unreliable for the network to infer downlink channel conditions based on uplink SRS measurement. Therefore, we recommend specifying NW-side performance monitoring based on target CSI reporting, leveraging enhanced CSI codebooks with higher-resolution parameter configurations.</w:t>
      </w:r>
    </w:p>
    <w:p>
      <w:pPr>
        <w:pStyle w:val="38"/>
        <w:snapToGrid w:val="0"/>
        <w:spacing w:before="72" w:after="72"/>
        <w:jc w:val="both"/>
        <w:rPr>
          <w:sz w:val="20"/>
          <w:szCs w:val="20"/>
          <w:lang w:val="en-US"/>
        </w:rPr>
      </w:pPr>
      <w:r>
        <w:rPr>
          <w:rFonts w:hint="eastAsia"/>
          <w:sz w:val="20"/>
          <w:szCs w:val="20"/>
          <w:lang w:val="en-US"/>
        </w:rPr>
        <w:t>For AI/ML CSI feedback, support NW-side performance monitoring based on the target CSI reporting with CSI codebook enhancement via higher resolution parameter combination.</w:t>
      </w:r>
    </w:p>
    <w:p>
      <w:pPr>
        <w:snapToGrid w:val="0"/>
        <w:spacing w:before="72" w:beforeLines="30" w:after="72" w:afterLines="30" w:line="288" w:lineRule="auto"/>
        <w:jc w:val="both"/>
        <w:rPr>
          <w:rFonts w:eastAsia="t"/>
          <w:i/>
        </w:rPr>
      </w:pPr>
    </w:p>
    <w:bookmarkEnd w:id="0"/>
    <w:p>
      <w:pPr>
        <w:numPr>
          <w:ilvl w:val="0"/>
          <w:numId w:val="13"/>
        </w:numPr>
        <w:snapToGrid w:val="0"/>
        <w:spacing w:before="72" w:beforeLines="30" w:after="72" w:afterLines="30" w:line="288" w:lineRule="auto"/>
        <w:jc w:val="both"/>
        <w:rPr>
          <w:rFonts w:eastAsia="Times New Roman"/>
          <w:b/>
          <w:bCs/>
          <w:sz w:val="20"/>
          <w:szCs w:val="20"/>
        </w:rPr>
      </w:pPr>
      <w:r>
        <w:rPr>
          <w:rFonts w:hint="eastAsia" w:eastAsia="Times New Roman"/>
          <w:b/>
          <w:bCs/>
          <w:sz w:val="20"/>
          <w:szCs w:val="20"/>
        </w:rPr>
        <w:t>UE-side performance monitoring</w:t>
      </w:r>
    </w:p>
    <w:p>
      <w:pPr>
        <w:snapToGrid w:val="0"/>
        <w:spacing w:before="72" w:beforeLines="30" w:after="72" w:afterLines="30" w:line="288" w:lineRule="auto"/>
        <w:jc w:val="both"/>
        <w:rPr>
          <w:rFonts w:eastAsiaTheme="minorEastAsia"/>
          <w:sz w:val="20"/>
          <w:szCs w:val="20"/>
        </w:rPr>
      </w:pPr>
      <w:r>
        <w:rPr>
          <w:rFonts w:eastAsiaTheme="minorEastAsia"/>
          <w:sz w:val="20"/>
          <w:szCs w:val="20"/>
        </w:rPr>
        <w:t xml:space="preserve">For UE-side performance monitoring, </w:t>
      </w:r>
      <w:r>
        <w:rPr>
          <w:rFonts w:hint="eastAsia" w:eastAsiaTheme="minorEastAsia"/>
          <w:sz w:val="20"/>
          <w:szCs w:val="20"/>
        </w:rPr>
        <w:t xml:space="preserve">four </w:t>
      </w:r>
      <w:r>
        <w:rPr>
          <w:rFonts w:eastAsiaTheme="minorEastAsia"/>
          <w:sz w:val="20"/>
          <w:szCs w:val="20"/>
        </w:rPr>
        <w:t>alternatives were proposed by companies in Rel-18 as below:</w:t>
      </w:r>
    </w:p>
    <w:p>
      <w:pPr>
        <w:numPr>
          <w:ilvl w:val="0"/>
          <w:numId w:val="18"/>
        </w:numPr>
        <w:snapToGrid w:val="0"/>
        <w:spacing w:before="72" w:beforeLines="30" w:after="72" w:afterLines="30" w:line="288" w:lineRule="auto"/>
        <w:jc w:val="both"/>
        <w:rPr>
          <w:rFonts w:eastAsiaTheme="minorEastAsia"/>
          <w:sz w:val="20"/>
          <w:szCs w:val="20"/>
        </w:rPr>
      </w:pPr>
      <w:r>
        <w:rPr>
          <w:rFonts w:eastAsiaTheme="minorEastAsia"/>
          <w:sz w:val="20"/>
          <w:szCs w:val="20"/>
        </w:rPr>
        <w:t>Alt 1: UE-side monitoring based on the actual CSI reconstruction model at NW side</w:t>
      </w:r>
    </w:p>
    <w:p>
      <w:pPr>
        <w:numPr>
          <w:ilvl w:val="0"/>
          <w:numId w:val="18"/>
        </w:numPr>
        <w:snapToGrid w:val="0"/>
        <w:spacing w:before="72" w:beforeLines="30" w:after="72" w:afterLines="30" w:line="288" w:lineRule="auto"/>
        <w:jc w:val="both"/>
        <w:rPr>
          <w:rFonts w:eastAsiaTheme="minorEastAsia"/>
          <w:sz w:val="20"/>
          <w:szCs w:val="20"/>
        </w:rPr>
      </w:pPr>
      <w:r>
        <w:rPr>
          <w:rFonts w:eastAsiaTheme="minorEastAsia"/>
          <w:sz w:val="20"/>
          <w:szCs w:val="20"/>
        </w:rPr>
        <w:t>Alt 2:</w:t>
      </w:r>
      <w:r>
        <w:rPr>
          <w:rFonts w:eastAsia="t"/>
          <w:sz w:val="20"/>
          <w:szCs w:val="20"/>
        </w:rPr>
        <w:t xml:space="preserve"> UE-side monitoring based on the output CSI transmitted from NW side to UE side</w:t>
      </w:r>
    </w:p>
    <w:p>
      <w:pPr>
        <w:numPr>
          <w:ilvl w:val="0"/>
          <w:numId w:val="18"/>
        </w:numPr>
        <w:snapToGrid w:val="0"/>
        <w:spacing w:before="72" w:beforeLines="30" w:after="72" w:afterLines="30" w:line="288" w:lineRule="auto"/>
        <w:rPr>
          <w:rFonts w:eastAsiaTheme="minorEastAsia"/>
          <w:sz w:val="20"/>
          <w:szCs w:val="20"/>
        </w:rPr>
      </w:pPr>
      <w:r>
        <w:rPr>
          <w:rFonts w:hint="eastAsia" w:eastAsiaTheme="minorEastAsia"/>
          <w:sz w:val="20"/>
          <w:szCs w:val="20"/>
        </w:rPr>
        <w:t>A</w:t>
      </w:r>
      <w:r>
        <w:rPr>
          <w:rFonts w:eastAsiaTheme="minorEastAsia"/>
          <w:sz w:val="20"/>
          <w:szCs w:val="20"/>
        </w:rPr>
        <w:t xml:space="preserve">lt 3: </w:t>
      </w:r>
      <w:r>
        <w:rPr>
          <w:rFonts w:eastAsia="t"/>
          <w:sz w:val="20"/>
          <w:szCs w:val="20"/>
        </w:rPr>
        <w:t>UE-side monitoring</w:t>
      </w:r>
      <w:r>
        <w:rPr>
          <w:rFonts w:eastAsiaTheme="minorEastAsia"/>
          <w:sz w:val="20"/>
          <w:szCs w:val="20"/>
        </w:rPr>
        <w:t xml:space="preserve"> </w:t>
      </w:r>
      <w:r>
        <w:rPr>
          <w:rFonts w:hint="eastAsia" w:eastAsiaTheme="minorEastAsia"/>
          <w:sz w:val="20"/>
          <w:szCs w:val="20"/>
        </w:rPr>
        <w:t>b</w:t>
      </w:r>
      <w:r>
        <w:rPr>
          <w:rFonts w:eastAsiaTheme="minorEastAsia"/>
          <w:sz w:val="20"/>
          <w:szCs w:val="20"/>
        </w:rPr>
        <w:t xml:space="preserve">ased on precoded RS transmitted from NW based on the output of the CSI reconstruction model </w:t>
      </w:r>
    </w:p>
    <w:p>
      <w:pPr>
        <w:numPr>
          <w:ilvl w:val="0"/>
          <w:numId w:val="18"/>
        </w:numPr>
        <w:snapToGrid w:val="0"/>
        <w:spacing w:before="72" w:beforeLines="30" w:after="72" w:afterLines="30" w:line="288" w:lineRule="auto"/>
        <w:jc w:val="both"/>
        <w:rPr>
          <w:rFonts w:eastAsiaTheme="minorEastAsia"/>
          <w:sz w:val="20"/>
          <w:szCs w:val="20"/>
        </w:rPr>
      </w:pPr>
      <w:r>
        <w:rPr>
          <w:rFonts w:eastAsiaTheme="minorEastAsia"/>
          <w:sz w:val="20"/>
          <w:szCs w:val="20"/>
        </w:rPr>
        <w:t>Alt 4: UE-side monitoring based on the UE-side proxy model</w:t>
      </w:r>
    </w:p>
    <w:p>
      <w:pPr>
        <w:snapToGrid w:val="0"/>
        <w:spacing w:before="72" w:beforeLines="30" w:after="72" w:afterLines="30" w:line="288" w:lineRule="auto"/>
        <w:jc w:val="both"/>
        <w:rPr>
          <w:rFonts w:eastAsiaTheme="minorEastAsia"/>
          <w:sz w:val="20"/>
          <w:szCs w:val="20"/>
        </w:rPr>
      </w:pPr>
      <w:r>
        <w:rPr>
          <w:rFonts w:eastAsiaTheme="minorEastAsia"/>
          <w:sz w:val="20"/>
          <w:szCs w:val="20"/>
        </w:rPr>
        <w:t>We further analyze and summarize the pros and cons of these approaches in the following Table.</w:t>
      </w:r>
    </w:p>
    <w:p>
      <w:pPr>
        <w:snapToGrid w:val="0"/>
        <w:spacing w:before="72" w:beforeLines="30" w:after="72" w:afterLines="30" w:line="288" w:lineRule="auto"/>
        <w:jc w:val="center"/>
        <w:rPr>
          <w:rFonts w:eastAsiaTheme="minorEastAsia"/>
          <w:sz w:val="20"/>
          <w:szCs w:val="20"/>
        </w:rPr>
      </w:pPr>
      <w:r>
        <w:rPr>
          <w:rFonts w:eastAsiaTheme="minorEastAsia"/>
          <w:sz w:val="20"/>
          <w:szCs w:val="20"/>
        </w:rPr>
        <w:t>Table</w:t>
      </w:r>
      <w:r>
        <w:rPr>
          <w:rFonts w:hint="eastAsia" w:eastAsiaTheme="minorEastAsia"/>
          <w:sz w:val="20"/>
          <w:szCs w:val="20"/>
        </w:rPr>
        <w:t>.</w:t>
      </w:r>
      <w:r>
        <w:rPr>
          <w:rFonts w:eastAsiaTheme="minorEastAsia"/>
          <w:sz w:val="20"/>
          <w:szCs w:val="20"/>
        </w:rPr>
        <w:t xml:space="preserve"> The analysis on UE-side performance monitoring approaches</w:t>
      </w:r>
    </w:p>
    <w:tbl>
      <w:tblPr>
        <w:tblStyle w:val="2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sz w:val="20"/>
                <w:szCs w:val="20"/>
              </w:rPr>
            </w:pPr>
            <w:r>
              <w:rPr>
                <w:rFonts w:eastAsiaTheme="minorEastAsia"/>
                <w:sz w:val="20"/>
                <w:szCs w:val="20"/>
              </w:rPr>
              <w:t>UE-side monitoring alternatives</w:t>
            </w:r>
          </w:p>
        </w:tc>
        <w:tc>
          <w:tcPr>
            <w:tcW w:w="6520" w:type="dxa"/>
          </w:tcPr>
          <w:p>
            <w:pPr>
              <w:snapToGrid w:val="0"/>
              <w:spacing w:before="72" w:beforeLines="30" w:after="72" w:afterLines="30" w:line="288" w:lineRule="auto"/>
              <w:jc w:val="center"/>
              <w:rPr>
                <w:rFonts w:eastAsiaTheme="minorEastAsia"/>
                <w:sz w:val="20"/>
                <w:szCs w:val="20"/>
              </w:rPr>
            </w:pPr>
            <w:r>
              <w:rPr>
                <w:rFonts w:eastAsiaTheme="minorEastAsia"/>
                <w:sz w:val="20"/>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sz w:val="20"/>
                <w:szCs w:val="20"/>
              </w:rPr>
            </w:pPr>
            <w:r>
              <w:rPr>
                <w:rFonts w:eastAsiaTheme="minorEastAsia"/>
                <w:sz w:val="20"/>
                <w:szCs w:val="20"/>
              </w:rPr>
              <w:t>Alt 1: UE-side monitoring based on the actual CSI reconstruction model at NW side</w:t>
            </w:r>
          </w:p>
        </w:tc>
        <w:tc>
          <w:tcPr>
            <w:tcW w:w="6520" w:type="dxa"/>
          </w:tcPr>
          <w:p>
            <w:pPr>
              <w:numPr>
                <w:ilvl w:val="0"/>
                <w:numId w:val="19"/>
              </w:numPr>
              <w:snapToGrid w:val="0"/>
              <w:spacing w:before="72" w:beforeLines="30" w:after="72" w:afterLines="30" w:line="288" w:lineRule="auto"/>
              <w:jc w:val="both"/>
              <w:rPr>
                <w:rFonts w:eastAsiaTheme="minorEastAsia"/>
                <w:sz w:val="20"/>
                <w:szCs w:val="20"/>
              </w:rPr>
            </w:pPr>
            <w:r>
              <w:rPr>
                <w:rFonts w:eastAsiaTheme="minorEastAsia"/>
                <w:sz w:val="20"/>
                <w:szCs w:val="20"/>
              </w:rPr>
              <w:t>Accurate intermediate KPI can be calculated</w:t>
            </w:r>
          </w:p>
          <w:p>
            <w:pPr>
              <w:numPr>
                <w:ilvl w:val="0"/>
                <w:numId w:val="19"/>
              </w:numPr>
              <w:snapToGrid w:val="0"/>
              <w:spacing w:before="72" w:beforeLines="30" w:after="72" w:afterLines="30" w:line="288" w:lineRule="auto"/>
              <w:jc w:val="both"/>
              <w:rPr>
                <w:rFonts w:eastAsiaTheme="minorEastAsia"/>
                <w:sz w:val="20"/>
                <w:szCs w:val="20"/>
              </w:rPr>
            </w:pPr>
            <w:r>
              <w:rPr>
                <w:rFonts w:eastAsiaTheme="minorEastAsia"/>
                <w:sz w:val="20"/>
                <w:szCs w:val="20"/>
              </w:rPr>
              <w:t>Huge burden on the overhead of CSI reconstruction model delivery over the air</w:t>
            </w:r>
          </w:p>
          <w:p>
            <w:pPr>
              <w:numPr>
                <w:ilvl w:val="0"/>
                <w:numId w:val="19"/>
              </w:numPr>
              <w:snapToGrid w:val="0"/>
              <w:spacing w:before="72" w:beforeLines="30" w:after="72" w:afterLines="30" w:line="288" w:lineRule="auto"/>
              <w:jc w:val="both"/>
              <w:rPr>
                <w:rFonts w:eastAsiaTheme="minorEastAsia"/>
                <w:sz w:val="20"/>
                <w:szCs w:val="20"/>
              </w:rPr>
            </w:pPr>
            <w:r>
              <w:rPr>
                <w:rFonts w:eastAsiaTheme="minorEastAsia"/>
                <w:sz w:val="20"/>
                <w:szCs w:val="20"/>
              </w:rPr>
              <w:t xml:space="preserve">NW-side model proprietary information </w:t>
            </w:r>
            <w:r>
              <w:rPr>
                <w:rFonts w:hint="eastAsia" w:eastAsiaTheme="minorEastAsia"/>
                <w:sz w:val="20"/>
                <w:szCs w:val="20"/>
              </w:rPr>
              <w:t>is</w:t>
            </w:r>
            <w:r>
              <w:rPr>
                <w:rFonts w:eastAsiaTheme="minorEastAsia"/>
                <w:sz w:val="20"/>
                <w:szCs w:val="20"/>
              </w:rPr>
              <w:t xml:space="preserve"> disclosed to UE</w:t>
            </w:r>
          </w:p>
          <w:p>
            <w:pPr>
              <w:numPr>
                <w:ilvl w:val="0"/>
                <w:numId w:val="19"/>
              </w:numPr>
              <w:snapToGrid w:val="0"/>
              <w:spacing w:before="72" w:beforeLines="30" w:after="72" w:afterLines="30" w:line="288" w:lineRule="auto"/>
              <w:jc w:val="both"/>
              <w:rPr>
                <w:rFonts w:eastAsiaTheme="minorEastAsia"/>
                <w:sz w:val="20"/>
                <w:szCs w:val="20"/>
              </w:rPr>
            </w:pPr>
            <w:r>
              <w:rPr>
                <w:rFonts w:eastAsiaTheme="minorEastAsia"/>
                <w:sz w:val="20"/>
                <w:szCs w:val="20"/>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sz w:val="20"/>
                <w:szCs w:val="20"/>
              </w:rPr>
            </w:pPr>
            <w:r>
              <w:rPr>
                <w:rFonts w:eastAsiaTheme="minorEastAsia"/>
                <w:sz w:val="20"/>
                <w:szCs w:val="20"/>
              </w:rPr>
              <w:t xml:space="preserve">Alt 2: </w:t>
            </w:r>
            <w:r>
              <w:rPr>
                <w:rFonts w:eastAsia="t"/>
                <w:sz w:val="20"/>
                <w:szCs w:val="20"/>
              </w:rPr>
              <w:t>UE-side monitoring based on the output CSI transmitted from NW side to UE side</w:t>
            </w:r>
          </w:p>
        </w:tc>
        <w:tc>
          <w:tcPr>
            <w:tcW w:w="6520" w:type="dxa"/>
          </w:tcPr>
          <w:p>
            <w:pPr>
              <w:numPr>
                <w:ilvl w:val="0"/>
                <w:numId w:val="20"/>
              </w:numPr>
              <w:snapToGrid w:val="0"/>
              <w:spacing w:before="72" w:beforeLines="30" w:after="72" w:afterLines="30" w:line="288" w:lineRule="auto"/>
              <w:jc w:val="both"/>
              <w:rPr>
                <w:rFonts w:eastAsiaTheme="minorEastAsia"/>
                <w:sz w:val="20"/>
                <w:szCs w:val="20"/>
              </w:rPr>
            </w:pPr>
            <w:r>
              <w:rPr>
                <w:rFonts w:eastAsiaTheme="minorEastAsia"/>
                <w:sz w:val="20"/>
                <w:szCs w:val="20"/>
              </w:rPr>
              <w:t>Less transmission overhead compared with Alt 1</w:t>
            </w:r>
          </w:p>
          <w:p>
            <w:pPr>
              <w:numPr>
                <w:ilvl w:val="0"/>
                <w:numId w:val="20"/>
              </w:numPr>
              <w:snapToGrid w:val="0"/>
              <w:spacing w:before="72" w:beforeLines="30" w:after="72" w:afterLines="30" w:line="288" w:lineRule="auto"/>
              <w:jc w:val="both"/>
              <w:rPr>
                <w:rFonts w:eastAsiaTheme="minorEastAsia"/>
                <w:sz w:val="20"/>
                <w:szCs w:val="20"/>
              </w:rPr>
            </w:pPr>
            <w:r>
              <w:rPr>
                <w:rFonts w:eastAsiaTheme="minorEastAsia"/>
                <w:sz w:val="20"/>
                <w:szCs w:val="20"/>
              </w:rPr>
              <w:t>Additional latency is needed for output CSI transmission.</w:t>
            </w:r>
          </w:p>
          <w:p>
            <w:pPr>
              <w:numPr>
                <w:ilvl w:val="0"/>
                <w:numId w:val="20"/>
              </w:numPr>
              <w:snapToGrid w:val="0"/>
              <w:spacing w:before="72" w:beforeLines="30" w:after="72" w:afterLines="30" w:line="288" w:lineRule="auto"/>
              <w:jc w:val="both"/>
              <w:rPr>
                <w:rFonts w:eastAsiaTheme="minorEastAsia"/>
                <w:sz w:val="20"/>
                <w:szCs w:val="20"/>
              </w:rPr>
            </w:pPr>
            <w:r>
              <w:rPr>
                <w:rFonts w:eastAsiaTheme="minorEastAsia"/>
                <w:sz w:val="20"/>
                <w:szCs w:val="20"/>
              </w:rPr>
              <w:t>Quantization loss would be introduced to output CSI due to the quantization type, e.g., codebook-based quantization.</w:t>
            </w:r>
          </w:p>
          <w:p>
            <w:pPr>
              <w:numPr>
                <w:ilvl w:val="0"/>
                <w:numId w:val="20"/>
              </w:numPr>
              <w:snapToGrid w:val="0"/>
              <w:spacing w:before="72" w:beforeLines="30" w:after="72" w:afterLines="30" w:line="288" w:lineRule="auto"/>
              <w:jc w:val="both"/>
              <w:rPr>
                <w:rFonts w:eastAsiaTheme="minorEastAsia"/>
                <w:sz w:val="20"/>
                <w:szCs w:val="20"/>
              </w:rPr>
            </w:pPr>
            <w:r>
              <w:rPr>
                <w:rFonts w:eastAsiaTheme="minorEastAsia"/>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sz w:val="20"/>
                <w:szCs w:val="20"/>
              </w:rPr>
            </w:pPr>
            <w:r>
              <w:rPr>
                <w:rFonts w:hint="eastAsia" w:eastAsiaTheme="minorEastAsia"/>
                <w:sz w:val="20"/>
                <w:szCs w:val="20"/>
              </w:rPr>
              <w:t>A</w:t>
            </w:r>
            <w:r>
              <w:rPr>
                <w:rFonts w:eastAsiaTheme="minorEastAsia"/>
                <w:sz w:val="20"/>
                <w:szCs w:val="20"/>
              </w:rPr>
              <w:t xml:space="preserve">lt 3: </w:t>
            </w:r>
            <w:r>
              <w:rPr>
                <w:rFonts w:eastAsia="t"/>
                <w:sz w:val="20"/>
                <w:szCs w:val="20"/>
              </w:rPr>
              <w:t>UE-side monitoring</w:t>
            </w:r>
            <w:r>
              <w:rPr>
                <w:rFonts w:eastAsiaTheme="minorEastAsia"/>
                <w:sz w:val="20"/>
                <w:szCs w:val="20"/>
              </w:rPr>
              <w:t xml:space="preserve"> </w:t>
            </w:r>
            <w:r>
              <w:rPr>
                <w:rFonts w:hint="eastAsia" w:eastAsiaTheme="minorEastAsia"/>
                <w:sz w:val="20"/>
                <w:szCs w:val="20"/>
              </w:rPr>
              <w:t>b</w:t>
            </w:r>
            <w:r>
              <w:rPr>
                <w:rFonts w:eastAsiaTheme="minorEastAsia"/>
                <w:sz w:val="20"/>
                <w:szCs w:val="20"/>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sz w:val="20"/>
                <w:szCs w:val="20"/>
              </w:rPr>
            </w:pPr>
          </w:p>
        </w:tc>
        <w:tc>
          <w:tcPr>
            <w:tcW w:w="6520" w:type="dxa"/>
          </w:tcPr>
          <w:p>
            <w:pPr>
              <w:numPr>
                <w:ilvl w:val="0"/>
                <w:numId w:val="20"/>
              </w:numPr>
              <w:snapToGrid w:val="0"/>
              <w:spacing w:before="72" w:beforeLines="30" w:after="72" w:afterLines="30" w:line="288" w:lineRule="auto"/>
              <w:jc w:val="both"/>
              <w:rPr>
                <w:rFonts w:eastAsiaTheme="minorEastAsia"/>
                <w:sz w:val="20"/>
                <w:szCs w:val="20"/>
              </w:rPr>
            </w:pPr>
            <w:r>
              <w:rPr>
                <w:rFonts w:eastAsiaTheme="minorEastAsia"/>
                <w:sz w:val="20"/>
                <w:szCs w:val="20"/>
              </w:rPr>
              <w:t>Additional latency is needed for precoded RS transmission.</w:t>
            </w:r>
          </w:p>
          <w:p>
            <w:pPr>
              <w:numPr>
                <w:ilvl w:val="0"/>
                <w:numId w:val="20"/>
              </w:numPr>
              <w:snapToGrid w:val="0"/>
              <w:spacing w:before="72" w:beforeLines="30" w:after="72" w:afterLines="30" w:line="288" w:lineRule="auto"/>
              <w:jc w:val="both"/>
              <w:rPr>
                <w:rFonts w:eastAsiaTheme="minorEastAsia"/>
                <w:sz w:val="20"/>
                <w:szCs w:val="20"/>
              </w:rPr>
            </w:pPr>
            <w:r>
              <w:rPr>
                <w:rFonts w:eastAsiaTheme="minorEastAsia"/>
                <w:sz w:val="20"/>
                <w:szCs w:val="20"/>
              </w:rPr>
              <w:t>Time span of monitoring process is increased, where two-step procedure is needed to finish performance monitoring.</w:t>
            </w:r>
          </w:p>
          <w:p>
            <w:pPr>
              <w:numPr>
                <w:ilvl w:val="0"/>
                <w:numId w:val="20"/>
              </w:numPr>
              <w:snapToGrid w:val="0"/>
              <w:spacing w:before="72" w:beforeLines="30" w:after="72" w:afterLines="30" w:line="288" w:lineRule="auto"/>
              <w:jc w:val="both"/>
              <w:rPr>
                <w:rFonts w:eastAsiaTheme="minorEastAsia"/>
                <w:sz w:val="20"/>
                <w:szCs w:val="20"/>
              </w:rPr>
            </w:pPr>
            <w:r>
              <w:rPr>
                <w:rFonts w:hint="eastAsia" w:eastAsiaTheme="minorEastAsia"/>
                <w:sz w:val="20"/>
                <w:szCs w:val="20"/>
              </w:rPr>
              <w:t>M</w:t>
            </w:r>
            <w:r>
              <w:rPr>
                <w:rFonts w:eastAsiaTheme="minorEastAsia"/>
                <w:sz w:val="20"/>
                <w:szCs w:val="20"/>
              </w:rPr>
              <w:t>onitoring results may not adapt to the channel variation/aging</w:t>
            </w:r>
            <w:r>
              <w:rPr>
                <w:rFonts w:hint="eastAsia" w:eastAsiaTheme="minorEastAsia"/>
                <w:sz w:val="20"/>
                <w:szCs w:val="20"/>
              </w:rPr>
              <w:t>/channel estimation errors</w:t>
            </w:r>
          </w:p>
          <w:p>
            <w:pPr>
              <w:numPr>
                <w:ilvl w:val="0"/>
                <w:numId w:val="20"/>
              </w:numPr>
              <w:snapToGrid w:val="0"/>
              <w:spacing w:before="72" w:beforeLines="30" w:after="72" w:afterLines="30" w:line="288" w:lineRule="auto"/>
              <w:jc w:val="both"/>
              <w:rPr>
                <w:rFonts w:eastAsiaTheme="minorEastAsia"/>
                <w:sz w:val="20"/>
                <w:szCs w:val="20"/>
              </w:rPr>
            </w:pPr>
            <w:r>
              <w:rPr>
                <w:rFonts w:eastAsiaTheme="minorEastAsia"/>
                <w:sz w:val="20"/>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sz w:val="20"/>
                <w:szCs w:val="20"/>
              </w:rPr>
            </w:pPr>
            <w:r>
              <w:rPr>
                <w:rFonts w:eastAsiaTheme="minorEastAsia"/>
                <w:sz w:val="20"/>
                <w:szCs w:val="20"/>
              </w:rPr>
              <w:t>Alt 4: UE-side monitoring based on the UE-side proxy model</w:t>
            </w:r>
          </w:p>
        </w:tc>
        <w:tc>
          <w:tcPr>
            <w:tcW w:w="6520" w:type="dxa"/>
          </w:tcPr>
          <w:p>
            <w:pPr>
              <w:numPr>
                <w:ilvl w:val="0"/>
                <w:numId w:val="21"/>
              </w:numPr>
              <w:snapToGrid w:val="0"/>
              <w:spacing w:before="72" w:beforeLines="30" w:after="72" w:afterLines="30" w:line="288" w:lineRule="auto"/>
              <w:jc w:val="both"/>
              <w:rPr>
                <w:rFonts w:eastAsiaTheme="minorEastAsia"/>
                <w:sz w:val="20"/>
                <w:szCs w:val="20"/>
              </w:rPr>
            </w:pPr>
            <w:r>
              <w:rPr>
                <w:rFonts w:eastAsiaTheme="minorEastAsia"/>
                <w:sz w:val="20"/>
                <w:szCs w:val="20"/>
              </w:rPr>
              <w:t xml:space="preserve">No need to transmit CSI reconstruction model or output CSI  </w:t>
            </w:r>
          </w:p>
          <w:p>
            <w:pPr>
              <w:numPr>
                <w:ilvl w:val="0"/>
                <w:numId w:val="21"/>
              </w:numPr>
              <w:snapToGrid w:val="0"/>
              <w:spacing w:before="72" w:beforeLines="30" w:after="72" w:afterLines="30" w:line="288" w:lineRule="auto"/>
              <w:jc w:val="both"/>
              <w:rPr>
                <w:rFonts w:eastAsiaTheme="minorEastAsia"/>
                <w:sz w:val="20"/>
                <w:szCs w:val="20"/>
              </w:rPr>
            </w:pPr>
            <w:r>
              <w:rPr>
                <w:rFonts w:eastAsiaTheme="minorEastAsia"/>
                <w:sz w:val="20"/>
                <w:szCs w:val="20"/>
              </w:rPr>
              <w:t xml:space="preserve">The weak learning capability of proxy model incurs worse generalization performance according to our observations </w:t>
            </w:r>
          </w:p>
          <w:p>
            <w:pPr>
              <w:numPr>
                <w:ilvl w:val="0"/>
                <w:numId w:val="21"/>
              </w:numPr>
              <w:snapToGrid w:val="0"/>
              <w:spacing w:before="72" w:beforeLines="30" w:after="72" w:afterLines="30" w:line="288" w:lineRule="auto"/>
              <w:jc w:val="both"/>
              <w:rPr>
                <w:rFonts w:eastAsiaTheme="minorEastAsia"/>
                <w:sz w:val="20"/>
                <w:szCs w:val="20"/>
              </w:rPr>
            </w:pPr>
            <w:r>
              <w:rPr>
                <w:rFonts w:eastAsiaTheme="minorEastAsia"/>
                <w:sz w:val="20"/>
                <w:szCs w:val="20"/>
              </w:rPr>
              <w:t xml:space="preserve">If the proxy model is up to UE implementation and transparent to the Network side, the monitoring performance of the UE-side proxy model is not </w:t>
            </w:r>
            <w:r>
              <w:rPr>
                <w:rFonts w:hint="eastAsia" w:eastAsiaTheme="minorEastAsia"/>
                <w:sz w:val="20"/>
                <w:szCs w:val="20"/>
              </w:rPr>
              <w:t xml:space="preserve">convincing for the </w:t>
            </w:r>
            <w:r>
              <w:rPr>
                <w:rFonts w:eastAsiaTheme="minorEastAsia"/>
                <w:sz w:val="20"/>
                <w:szCs w:val="20"/>
              </w:rPr>
              <w:t>NW side since no additional LCM of UE-side proxy model is operated</w:t>
            </w:r>
          </w:p>
          <w:p>
            <w:pPr>
              <w:numPr>
                <w:ilvl w:val="0"/>
                <w:numId w:val="21"/>
              </w:numPr>
              <w:snapToGrid w:val="0"/>
              <w:spacing w:before="72" w:beforeLines="30" w:after="72" w:afterLines="30" w:line="288" w:lineRule="auto"/>
              <w:jc w:val="both"/>
              <w:rPr>
                <w:rFonts w:eastAsiaTheme="minorEastAsia"/>
                <w:sz w:val="20"/>
                <w:szCs w:val="20"/>
              </w:rPr>
            </w:pPr>
            <w:r>
              <w:rPr>
                <w:rFonts w:eastAsiaTheme="minorEastAsia"/>
                <w:sz w:val="20"/>
                <w:szCs w:val="20"/>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For Alt1, the actual CSI reconstruction model is the proprietary information of the NW side and cannot be disclosed to the UE side. For Alt 2, the output-CSI needs to be sent back from the NW side to the UE side in forms of quantization value, e.g., scalar quantization or codebook-based quantization. It leads to additional latency and quantization loss. And the UE has to buffer the previous CSI to match the output-CSI, resulting in additional storage burden at the UE side. For Alt 3, time span of the monitoring process is increased due to the two-step procedures and thus it may suffer from channel aging issues, which needs to be further studied. For Alt 4, the proxy model shows significant generalization performance loss in terms of monitoring accuracy according to TR 38.843, and it may impose huge burden on the network side to additionally identify/monitor/manage the UE-side proxy model. Based on the analysis on the four alternatives, each one has some challenging problems to be addressed in actual deployment. Therefore, we propose to prioritize NW-side performance monitoring and take UE-side performance monitoring as second priority. </w:t>
      </w:r>
    </w:p>
    <w:p>
      <w:pPr>
        <w:pStyle w:val="38"/>
        <w:snapToGrid w:val="0"/>
        <w:spacing w:before="72" w:after="72"/>
        <w:jc w:val="both"/>
        <w:rPr>
          <w:sz w:val="20"/>
          <w:szCs w:val="20"/>
          <w:lang w:val="en-US"/>
        </w:rPr>
      </w:pPr>
      <w:bookmarkStart w:id="1" w:name="_Hlk178349686"/>
      <w:r>
        <w:rPr>
          <w:rFonts w:hint="eastAsia"/>
          <w:sz w:val="20"/>
          <w:szCs w:val="20"/>
          <w:lang w:val="en-US"/>
        </w:rPr>
        <w:t>For AI/ML CSI feedback, prioritize NW-side performance monitoring and take UE-side performance monitoring as second priority.</w:t>
      </w:r>
    </w:p>
    <w:bookmarkEnd w:id="1"/>
    <w:p>
      <w:pPr>
        <w:widowControl w:val="0"/>
        <w:snapToGrid w:val="0"/>
        <w:spacing w:before="72" w:beforeLines="30" w:after="72" w:afterLines="30" w:line="288" w:lineRule="auto"/>
        <w:jc w:val="both"/>
        <w:rPr>
          <w:b/>
          <w:bCs/>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Conclusions</w:t>
      </w:r>
    </w:p>
    <w:p>
      <w:pPr>
        <w:snapToGrid w:val="0"/>
        <w:spacing w:before="72" w:beforeLines="30" w:after="72" w:afterLines="30" w:line="288" w:lineRule="auto"/>
        <w:jc w:val="both"/>
        <w:rPr>
          <w:sz w:val="20"/>
          <w:szCs w:val="20"/>
          <w:highlight w:val="yellow"/>
        </w:rPr>
      </w:pPr>
      <w:r>
        <w:rPr>
          <w:rFonts w:hint="eastAsia"/>
          <w:kern w:val="2"/>
          <w:sz w:val="20"/>
          <w:szCs w:val="20"/>
          <w:lang w:val="en-GB"/>
        </w:rPr>
        <w:t xml:space="preserve">In this contribution, we discuss the specification enhancements for </w:t>
      </w:r>
      <w:r>
        <w:rPr>
          <w:rFonts w:hint="eastAsia"/>
          <w:kern w:val="2"/>
          <w:sz w:val="20"/>
          <w:szCs w:val="20"/>
        </w:rPr>
        <w:t xml:space="preserve">other aspects of </w:t>
      </w:r>
      <w:r>
        <w:rPr>
          <w:rFonts w:hint="eastAsia"/>
          <w:kern w:val="2"/>
          <w:sz w:val="20"/>
          <w:szCs w:val="20"/>
          <w:lang w:val="en-GB"/>
        </w:rPr>
        <w:t xml:space="preserve">AI/ML based </w:t>
      </w:r>
      <w:r>
        <w:rPr>
          <w:rFonts w:hint="eastAsia"/>
          <w:kern w:val="2"/>
          <w:sz w:val="20"/>
          <w:szCs w:val="20"/>
        </w:rPr>
        <w:t>CSI feedback</w:t>
      </w:r>
      <w:r>
        <w:rPr>
          <w:rFonts w:hint="eastAsia"/>
          <w:kern w:val="2"/>
          <w:sz w:val="20"/>
          <w:szCs w:val="20"/>
          <w:lang w:val="en-GB"/>
        </w:rPr>
        <w:t>. We have the following proposals.</w:t>
      </w:r>
    </w:p>
    <w:p>
      <w:pPr>
        <w:snapToGrid w:val="0"/>
        <w:spacing w:before="72" w:beforeLines="30" w:after="72" w:afterLines="30" w:line="288" w:lineRule="auto"/>
        <w:jc w:val="both"/>
        <w:rPr>
          <w:b/>
          <w:bCs/>
          <w:i/>
          <w:iCs/>
          <w:sz w:val="20"/>
          <w:szCs w:val="20"/>
          <w:highlight w:val="none"/>
          <w:u w:val="single"/>
        </w:rPr>
      </w:pPr>
      <w:r>
        <w:rPr>
          <w:b/>
          <w:bCs/>
          <w:i/>
          <w:iCs/>
          <w:sz w:val="20"/>
          <w:szCs w:val="20"/>
          <w:highlight w:val="none"/>
          <w:u w:val="single"/>
        </w:rPr>
        <w:t>Proposals：</w:t>
      </w:r>
    </w:p>
    <w:p>
      <w:pPr>
        <w:pStyle w:val="38"/>
        <w:numPr>
          <w:ilvl w:val="0"/>
          <w:numId w:val="22"/>
        </w:numPr>
        <w:snapToGrid w:val="0"/>
        <w:spacing w:before="72" w:after="72"/>
        <w:jc w:val="both"/>
        <w:rPr>
          <w:sz w:val="20"/>
          <w:szCs w:val="20"/>
          <w:lang w:val="en-US"/>
        </w:rPr>
      </w:pPr>
      <w:r>
        <w:rPr>
          <w:rFonts w:hint="eastAsia"/>
          <w:sz w:val="20"/>
          <w:szCs w:val="20"/>
          <w:lang w:val="en-US"/>
        </w:rPr>
        <w:t>S</w:t>
      </w:r>
      <w:r>
        <w:rPr>
          <w:rFonts w:hint="eastAsia"/>
          <w:sz w:val="20"/>
          <w:szCs w:val="20"/>
        </w:rPr>
        <w:t xml:space="preserve">pec enhancements of </w:t>
      </w:r>
      <w:r>
        <w:rPr>
          <w:rFonts w:hint="eastAsia"/>
          <w:sz w:val="20"/>
          <w:szCs w:val="20"/>
          <w:lang w:val="en-US"/>
        </w:rPr>
        <w:t>other</w:t>
      </w:r>
      <w:r>
        <w:rPr>
          <w:rFonts w:hint="eastAsia"/>
          <w:sz w:val="20"/>
          <w:szCs w:val="20"/>
        </w:rPr>
        <w:t xml:space="preserve"> aspects should be compatible to all to be specified inter vendor training collaboration options</w:t>
      </w:r>
      <w:r>
        <w:rPr>
          <w:rFonts w:hint="eastAsia"/>
          <w:sz w:val="20"/>
          <w:szCs w:val="20"/>
          <w:lang w:val="en-US"/>
        </w:rPr>
        <w:t xml:space="preserve"> (i.e., </w:t>
      </w:r>
      <w:r>
        <w:rPr>
          <w:rFonts w:hint="eastAsia" w:eastAsia="Times New Roman"/>
          <w:sz w:val="20"/>
          <w:szCs w:val="20"/>
        </w:rPr>
        <w:t>Direction A option</w:t>
      </w:r>
      <w:r>
        <w:rPr>
          <w:rFonts w:hint="eastAsia" w:eastAsia="Times New Roman"/>
          <w:sz w:val="20"/>
          <w:szCs w:val="20"/>
          <w:lang w:val="en-US"/>
        </w:rPr>
        <w:t>s</w:t>
      </w:r>
      <w:r>
        <w:rPr>
          <w:rFonts w:hint="eastAsia" w:eastAsia="Times New Roman"/>
          <w:sz w:val="20"/>
          <w:szCs w:val="20"/>
        </w:rPr>
        <w:t xml:space="preserve"> 3a-1</w:t>
      </w:r>
      <w:r>
        <w:rPr>
          <w:rFonts w:hint="eastAsia" w:eastAsia="Times New Roman"/>
          <w:sz w:val="20"/>
          <w:szCs w:val="20"/>
          <w:lang w:val="en-US"/>
        </w:rPr>
        <w:t xml:space="preserve"> and 4-1, Direction C</w:t>
      </w:r>
      <w:r>
        <w:rPr>
          <w:rFonts w:hint="eastAsia"/>
          <w:sz w:val="20"/>
          <w:szCs w:val="20"/>
          <w:lang w:val="en-US"/>
        </w:rPr>
        <w:t>)</w:t>
      </w:r>
      <w:r>
        <w:rPr>
          <w:rFonts w:hint="eastAsia"/>
          <w:sz w:val="20"/>
          <w:szCs w:val="20"/>
        </w:rPr>
        <w:t xml:space="preserve"> </w:t>
      </w:r>
      <w:r>
        <w:rPr>
          <w:rFonts w:hint="eastAsia"/>
          <w:sz w:val="20"/>
          <w:szCs w:val="20"/>
          <w:lang w:val="en-US"/>
        </w:rPr>
        <w:t>i</w:t>
      </w:r>
      <w:r>
        <w:rPr>
          <w:sz w:val="20"/>
          <w:szCs w:val="20"/>
          <w:lang w:val="en-US"/>
        </w:rPr>
        <w:t>ncluding</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associated</w:t>
      </w:r>
      <w:r>
        <w:rPr>
          <w:rFonts w:hint="eastAsia"/>
          <w:sz w:val="20"/>
          <w:szCs w:val="20"/>
          <w:lang w:val="en-US"/>
        </w:rPr>
        <w:t xml:space="preserve"> </w:t>
      </w:r>
      <w:r>
        <w:rPr>
          <w:sz w:val="20"/>
          <w:szCs w:val="20"/>
          <w:lang w:val="en-US"/>
        </w:rPr>
        <w:t>scalability</w:t>
      </w:r>
      <w:r>
        <w:rPr>
          <w:rFonts w:hint="eastAsia"/>
          <w:sz w:val="20"/>
          <w:szCs w:val="20"/>
          <w:lang w:val="en-US"/>
        </w:rPr>
        <w:t xml:space="preserve"> </w:t>
      </w:r>
      <w:r>
        <w:rPr>
          <w:sz w:val="20"/>
          <w:szCs w:val="20"/>
          <w:lang w:val="en-US"/>
        </w:rPr>
        <w:t>design.</w:t>
      </w:r>
    </w:p>
    <w:p>
      <w:pPr>
        <w:pStyle w:val="38"/>
        <w:snapToGrid w:val="0"/>
        <w:spacing w:before="72" w:after="72"/>
        <w:jc w:val="both"/>
        <w:rPr>
          <w:sz w:val="20"/>
          <w:szCs w:val="20"/>
          <w:lang w:val="en-US"/>
        </w:rPr>
      </w:pPr>
      <w:r>
        <w:rPr>
          <w:sz w:val="20"/>
          <w:szCs w:val="20"/>
          <w:lang w:val="en-US"/>
        </w:rPr>
        <w:t>Spec</w:t>
      </w:r>
      <w:r>
        <w:rPr>
          <w:rFonts w:hint="eastAsia"/>
          <w:sz w:val="20"/>
          <w:szCs w:val="20"/>
          <w:lang w:val="en-US"/>
        </w:rPr>
        <w:t xml:space="preserve"> </w:t>
      </w:r>
      <w:r>
        <w:rPr>
          <w:sz w:val="20"/>
          <w:szCs w:val="20"/>
          <w:lang w:val="en-US"/>
        </w:rPr>
        <w:t>enhancements</w:t>
      </w:r>
      <w:r>
        <w:rPr>
          <w:rFonts w:hint="eastAsia"/>
          <w:sz w:val="20"/>
          <w:szCs w:val="20"/>
          <w:lang w:val="en-US"/>
        </w:rPr>
        <w:t xml:space="preserve"> </w:t>
      </w:r>
      <w:r>
        <w:rPr>
          <w:sz w:val="20"/>
          <w:szCs w:val="20"/>
          <w:lang w:val="en-US"/>
        </w:rPr>
        <w:t>specified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rFonts w:hint="eastAsia" w:eastAsia="Times New Roman"/>
          <w:sz w:val="20"/>
          <w:szCs w:val="20"/>
        </w:rPr>
        <w:t>AI/ML beam management</w:t>
      </w:r>
      <w:r>
        <w:rPr>
          <w:rFonts w:hint="eastAsia" w:eastAsia="Times New Roman"/>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CSI</w:t>
      </w:r>
      <w:r>
        <w:rPr>
          <w:rFonts w:hint="eastAsia"/>
          <w:sz w:val="20"/>
          <w:szCs w:val="20"/>
          <w:lang w:val="en-US"/>
        </w:rPr>
        <w:t xml:space="preserve"> </w:t>
      </w:r>
      <w:r>
        <w:rPr>
          <w:sz w:val="20"/>
          <w:szCs w:val="20"/>
          <w:lang w:val="en-US"/>
        </w:rPr>
        <w:t>prediction</w:t>
      </w:r>
      <w:r>
        <w:rPr>
          <w:rFonts w:hint="eastAsia"/>
          <w:sz w:val="20"/>
          <w:szCs w:val="20"/>
          <w:lang w:val="en-US"/>
        </w:rPr>
        <w:t xml:space="preserve"> </w:t>
      </w:r>
      <w:r>
        <w:rPr>
          <w:sz w:val="20"/>
          <w:szCs w:val="20"/>
          <w:lang w:val="en-US"/>
        </w:rPr>
        <w:t>use</w:t>
      </w:r>
      <w:r>
        <w:rPr>
          <w:rFonts w:hint="eastAsia"/>
          <w:sz w:val="20"/>
          <w:szCs w:val="20"/>
          <w:lang w:val="en-US"/>
        </w:rPr>
        <w:t xml:space="preserve"> </w:t>
      </w:r>
      <w:r>
        <w:rPr>
          <w:sz w:val="20"/>
          <w:szCs w:val="20"/>
          <w:lang w:val="en-US"/>
        </w:rPr>
        <w:t>cases</w:t>
      </w:r>
      <w:r>
        <w:rPr>
          <w:rFonts w:hint="eastAsia"/>
          <w:sz w:val="20"/>
          <w:szCs w:val="20"/>
          <w:lang w:val="en-US"/>
        </w:rPr>
        <w:t xml:space="preserve"> </w:t>
      </w:r>
      <w:r>
        <w:rPr>
          <w:sz w:val="20"/>
          <w:szCs w:val="20"/>
          <w:lang w:val="en-US"/>
        </w:rPr>
        <w:t>should</w:t>
      </w:r>
      <w:r>
        <w:rPr>
          <w:rFonts w:hint="eastAsia"/>
          <w:sz w:val="20"/>
          <w:szCs w:val="20"/>
          <w:lang w:val="en-US"/>
        </w:rPr>
        <w:t xml:space="preserve"> </w:t>
      </w:r>
      <w:r>
        <w:rPr>
          <w:sz w:val="20"/>
          <w:szCs w:val="20"/>
          <w:lang w:val="en-US"/>
        </w:rPr>
        <w:t>be</w:t>
      </w:r>
      <w:r>
        <w:rPr>
          <w:rFonts w:hint="eastAsia"/>
          <w:sz w:val="20"/>
          <w:szCs w:val="20"/>
          <w:lang w:val="en-US"/>
        </w:rPr>
        <w:t xml:space="preserve"> </w:t>
      </w:r>
      <w:r>
        <w:rPr>
          <w:sz w:val="20"/>
          <w:szCs w:val="20"/>
          <w:lang w:val="en-US"/>
        </w:rPr>
        <w:t>reused</w:t>
      </w:r>
      <w:r>
        <w:rPr>
          <w:rFonts w:hint="eastAsia"/>
          <w:sz w:val="20"/>
          <w:szCs w:val="20"/>
          <w:lang w:val="en-US"/>
        </w:rPr>
        <w:t xml:space="preserve"> </w:t>
      </w:r>
      <w:r>
        <w:rPr>
          <w:sz w:val="20"/>
          <w:szCs w:val="20"/>
          <w:lang w:val="en-US"/>
        </w:rPr>
        <w:t>for</w:t>
      </w:r>
      <w:r>
        <w:rPr>
          <w:rFonts w:hint="eastAsia"/>
          <w:sz w:val="20"/>
          <w:szCs w:val="20"/>
          <w:lang w:val="en-US"/>
        </w:rPr>
        <w:t xml:space="preserve"> </w:t>
      </w:r>
      <w:r>
        <w:rPr>
          <w:sz w:val="20"/>
          <w:szCs w:val="20"/>
          <w:lang w:val="en-US"/>
        </w:rPr>
        <w:t>AI/ML</w:t>
      </w:r>
      <w:r>
        <w:rPr>
          <w:rFonts w:hint="eastAsia"/>
          <w:sz w:val="20"/>
          <w:szCs w:val="20"/>
          <w:lang w:val="en-US"/>
        </w:rPr>
        <w:t xml:space="preserve"> </w:t>
      </w:r>
      <w:r>
        <w:rPr>
          <w:sz w:val="20"/>
          <w:szCs w:val="20"/>
          <w:lang w:val="en-US"/>
        </w:rPr>
        <w:t>CSI</w:t>
      </w:r>
      <w:r>
        <w:rPr>
          <w:rFonts w:hint="eastAsia"/>
          <w:sz w:val="20"/>
          <w:szCs w:val="20"/>
          <w:lang w:val="en-US"/>
        </w:rPr>
        <w:t xml:space="preserve"> feedback </w:t>
      </w:r>
      <w:r>
        <w:rPr>
          <w:sz w:val="20"/>
          <w:szCs w:val="20"/>
          <w:lang w:val="en-US"/>
        </w:rPr>
        <w:t>to</w:t>
      </w:r>
      <w:r>
        <w:rPr>
          <w:rFonts w:hint="eastAsia"/>
          <w:sz w:val="20"/>
          <w:szCs w:val="20"/>
          <w:lang w:val="en-US"/>
        </w:rPr>
        <w:t xml:space="preserve"> </w:t>
      </w:r>
      <w:r>
        <w:rPr>
          <w:sz w:val="20"/>
          <w:szCs w:val="20"/>
          <w:lang w:val="en-US"/>
        </w:rPr>
        <w:t>reduce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efforts</w:t>
      </w:r>
      <w:r>
        <w:rPr>
          <w:rFonts w:hint="eastAsia"/>
          <w:sz w:val="20"/>
          <w:szCs w:val="20"/>
          <w:lang w:val="en-US"/>
        </w:rPr>
        <w:t xml:space="preserve"> </w:t>
      </w:r>
      <w:r>
        <w:rPr>
          <w:sz w:val="20"/>
          <w:szCs w:val="20"/>
          <w:lang w:val="en-US"/>
        </w:rPr>
        <w:t>and</w:t>
      </w:r>
      <w:r>
        <w:rPr>
          <w:rFonts w:hint="eastAsia"/>
          <w:sz w:val="20"/>
          <w:szCs w:val="20"/>
          <w:lang w:val="en-US"/>
        </w:rPr>
        <w:t xml:space="preserve"> </w:t>
      </w:r>
      <w:r>
        <w:rPr>
          <w:sz w:val="20"/>
          <w:szCs w:val="20"/>
          <w:lang w:val="en-US"/>
        </w:rPr>
        <w:t>simplify</w:t>
      </w:r>
      <w:r>
        <w:rPr>
          <w:rFonts w:hint="eastAsia"/>
          <w:sz w:val="20"/>
          <w:szCs w:val="20"/>
          <w:lang w:val="en-US"/>
        </w:rPr>
        <w:t xml:space="preserve"> </w:t>
      </w:r>
      <w:r>
        <w:rPr>
          <w:sz w:val="20"/>
          <w:szCs w:val="20"/>
          <w:lang w:val="en-US"/>
        </w:rPr>
        <w:t>the</w:t>
      </w:r>
      <w:r>
        <w:rPr>
          <w:rFonts w:hint="eastAsia"/>
          <w:sz w:val="20"/>
          <w:szCs w:val="20"/>
          <w:lang w:val="en-US"/>
        </w:rPr>
        <w:t xml:space="preserve"> </w:t>
      </w:r>
      <w:r>
        <w:rPr>
          <w:sz w:val="20"/>
          <w:szCs w:val="20"/>
          <w:lang w:val="en-US"/>
        </w:rPr>
        <w:t>spec</w:t>
      </w:r>
      <w:r>
        <w:rPr>
          <w:rFonts w:hint="eastAsia"/>
          <w:sz w:val="20"/>
          <w:szCs w:val="20"/>
          <w:lang w:val="en-US"/>
        </w:rPr>
        <w:t xml:space="preserve"> </w:t>
      </w:r>
      <w:r>
        <w:rPr>
          <w:sz w:val="20"/>
          <w:szCs w:val="20"/>
          <w:lang w:val="en-US"/>
        </w:rPr>
        <w:t>design,</w:t>
      </w:r>
      <w:r>
        <w:rPr>
          <w:rFonts w:hint="eastAsia"/>
          <w:sz w:val="20"/>
          <w:szCs w:val="20"/>
          <w:lang w:val="en-US"/>
        </w:rPr>
        <w:t xml:space="preserve"> </w:t>
      </w:r>
      <w:r>
        <w:rPr>
          <w:sz w:val="20"/>
          <w:szCs w:val="20"/>
          <w:lang w:val="en-US"/>
        </w:rPr>
        <w:t>when</w:t>
      </w:r>
      <w:r>
        <w:rPr>
          <w:rFonts w:hint="eastAsia"/>
          <w:sz w:val="20"/>
          <w:szCs w:val="20"/>
          <w:lang w:val="en-US"/>
        </w:rPr>
        <w:t xml:space="preserve"> </w:t>
      </w:r>
      <w:r>
        <w:rPr>
          <w:sz w:val="20"/>
          <w:szCs w:val="20"/>
          <w:lang w:val="en-US"/>
        </w:rPr>
        <w:t>applicable.</w:t>
      </w:r>
    </w:p>
    <w:p>
      <w:pPr>
        <w:pStyle w:val="38"/>
        <w:snapToGrid w:val="0"/>
        <w:spacing w:before="72" w:after="72"/>
        <w:jc w:val="both"/>
        <w:rPr>
          <w:sz w:val="20"/>
          <w:szCs w:val="20"/>
          <w:lang w:val="en-US"/>
        </w:rPr>
      </w:pPr>
      <w:r>
        <w:rPr>
          <w:rFonts w:hint="eastAsia"/>
          <w:sz w:val="20"/>
          <w:szCs w:val="20"/>
          <w:lang w:val="en-US"/>
        </w:rPr>
        <w:t>To enable the UE to select an encoder compatible with the decoder used by the gNB, pairing ID shall be defined which may be in the form of specified ID, dataset ID, or model ID, depending on the inter-vendor training collaboration options.</w:t>
      </w:r>
    </w:p>
    <w:p>
      <w:pPr>
        <w:pStyle w:val="38"/>
        <w:snapToGrid w:val="0"/>
        <w:spacing w:before="72" w:after="72"/>
        <w:jc w:val="both"/>
        <w:rPr>
          <w:sz w:val="20"/>
          <w:szCs w:val="20"/>
          <w:lang w:val="en-US"/>
        </w:rPr>
      </w:pPr>
      <w:r>
        <w:rPr>
          <w:rFonts w:hint="eastAsia"/>
          <w:sz w:val="20"/>
          <w:szCs w:val="20"/>
          <w:lang w:val="en-US"/>
        </w:rPr>
        <w:t>For the applicability report for AI/ML CSI feedback use case, reuse the applicability reporting procedures defined for AI/ML beam management as a starting point.</w:t>
      </w:r>
    </w:p>
    <w:p>
      <w:pPr>
        <w:pStyle w:val="38"/>
        <w:snapToGrid w:val="0"/>
        <w:spacing w:before="72" w:after="72"/>
        <w:jc w:val="both"/>
        <w:rPr>
          <w:sz w:val="20"/>
          <w:szCs w:val="20"/>
          <w:lang w:val="en-US"/>
        </w:rPr>
      </w:pPr>
      <w:r>
        <w:rPr>
          <w:rFonts w:hint="eastAsia"/>
          <w:sz w:val="20"/>
          <w:szCs w:val="20"/>
          <w:lang w:val="en-US"/>
        </w:rPr>
        <w:t>For the applicability report for AI/ML CSI feedback use case, the candidate inference configurations provided to the UE shall at least include the pairing ID. FFS other information by considering the inter-vendor training collaboration methods.</w:t>
      </w:r>
    </w:p>
    <w:p>
      <w:pPr>
        <w:pStyle w:val="38"/>
        <w:snapToGrid w:val="0"/>
        <w:spacing w:before="72" w:after="72"/>
        <w:jc w:val="both"/>
        <w:rPr>
          <w:sz w:val="20"/>
          <w:szCs w:val="20"/>
          <w:lang w:val="en-US"/>
        </w:rPr>
      </w:pPr>
      <w:r>
        <w:rPr>
          <w:rFonts w:hint="eastAsia"/>
          <w:sz w:val="20"/>
          <w:szCs w:val="20"/>
          <w:lang w:val="en-US"/>
        </w:rPr>
        <w:t>For NW side data collection for training, reuse the MDT framework defined in BM and CSI prediction use cases.</w:t>
      </w:r>
    </w:p>
    <w:p>
      <w:pPr>
        <w:pStyle w:val="38"/>
        <w:snapToGrid w:val="0"/>
        <w:spacing w:before="72" w:after="72"/>
        <w:jc w:val="both"/>
        <w:rPr>
          <w:sz w:val="20"/>
          <w:szCs w:val="20"/>
          <w:lang w:val="en-US"/>
        </w:rPr>
      </w:pPr>
      <w:r>
        <w:rPr>
          <w:rFonts w:hint="eastAsia"/>
          <w:sz w:val="20"/>
          <w:szCs w:val="20"/>
          <w:lang w:val="en-US"/>
        </w:rPr>
        <w:t>For NW side data collection for training, support R16 eType II CB with new parameter as the target CSI type for higher achievable inference performance.</w:t>
      </w:r>
    </w:p>
    <w:p>
      <w:pPr>
        <w:pStyle w:val="38"/>
        <w:snapToGrid w:val="0"/>
        <w:spacing w:before="72" w:after="72"/>
        <w:jc w:val="both"/>
        <w:rPr>
          <w:sz w:val="20"/>
          <w:szCs w:val="20"/>
          <w:lang w:val="en-US"/>
        </w:rPr>
      </w:pPr>
      <w:r>
        <w:rPr>
          <w:rFonts w:hint="eastAsia"/>
          <w:sz w:val="20"/>
          <w:szCs w:val="20"/>
          <w:lang w:val="en-US"/>
        </w:rPr>
        <w:t>To enable high-quality data collection from the UE to the NW, further study the following options:</w:t>
      </w:r>
    </w:p>
    <w:p>
      <w:pPr>
        <w:pStyle w:val="38"/>
        <w:numPr>
          <w:ilvl w:val="0"/>
          <w:numId w:val="16"/>
        </w:numPr>
        <w:snapToGrid w:val="0"/>
        <w:spacing w:before="72" w:after="72"/>
        <w:jc w:val="both"/>
        <w:rPr>
          <w:sz w:val="20"/>
          <w:szCs w:val="20"/>
          <w:lang w:val="en-US"/>
        </w:rPr>
      </w:pPr>
      <w:r>
        <w:rPr>
          <w:rFonts w:hint="eastAsia"/>
          <w:sz w:val="20"/>
          <w:szCs w:val="20"/>
          <w:lang w:val="en-US"/>
        </w:rPr>
        <w:t>The UE reports data quality-related information to the NW, e.g., SINR, CQI, positioning information</w:t>
      </w:r>
    </w:p>
    <w:p>
      <w:pPr>
        <w:pStyle w:val="38"/>
        <w:numPr>
          <w:ilvl w:val="0"/>
          <w:numId w:val="16"/>
        </w:numPr>
        <w:snapToGrid w:val="0"/>
        <w:spacing w:before="72" w:after="72"/>
        <w:jc w:val="both"/>
        <w:rPr>
          <w:sz w:val="20"/>
          <w:szCs w:val="20"/>
          <w:lang w:val="en-US"/>
        </w:rPr>
      </w:pPr>
      <w:r>
        <w:rPr>
          <w:rFonts w:hint="eastAsia"/>
          <w:sz w:val="20"/>
          <w:szCs w:val="20"/>
          <w:lang w:val="en-US"/>
        </w:rPr>
        <w:t xml:space="preserve">The NW configures a data quality threshold to the UE and the UE only reports qualified </w:t>
      </w:r>
      <w:r>
        <w:rPr>
          <w:sz w:val="20"/>
          <w:szCs w:val="20"/>
          <w:lang w:val="en-US"/>
        </w:rPr>
        <w:t>data</w:t>
      </w:r>
    </w:p>
    <w:p>
      <w:pPr>
        <w:pStyle w:val="38"/>
        <w:snapToGrid w:val="0"/>
        <w:spacing w:before="72" w:after="72"/>
        <w:jc w:val="both"/>
        <w:rPr>
          <w:sz w:val="20"/>
          <w:szCs w:val="20"/>
          <w:lang w:val="en-US"/>
        </w:rPr>
      </w:pPr>
      <w:r>
        <w:rPr>
          <w:rFonts w:hint="eastAsia"/>
          <w:sz w:val="20"/>
          <w:szCs w:val="20"/>
          <w:lang w:val="en-US"/>
        </w:rPr>
        <w:t>For UE-side training data collection, CSI report configuration can be used for configuring the CSI-RS resources for channel measurement, which can be set to periodic or semi-persistent.</w:t>
      </w:r>
    </w:p>
    <w:p>
      <w:pPr>
        <w:pStyle w:val="38"/>
        <w:snapToGrid w:val="0"/>
        <w:spacing w:before="72" w:after="72"/>
        <w:jc w:val="both"/>
        <w:rPr>
          <w:sz w:val="20"/>
          <w:szCs w:val="20"/>
          <w:lang w:val="en-US"/>
        </w:rPr>
      </w:pPr>
      <w:r>
        <w:rPr>
          <w:rFonts w:hint="eastAsia"/>
          <w:sz w:val="20"/>
          <w:szCs w:val="20"/>
          <w:lang w:val="en-US"/>
        </w:rPr>
        <w:t>For AI/ML CSI feedback, support NW-side performance monitoring based on the target CSI reporting with CSI codebook enhancement via higher resolution parameter combination.</w:t>
      </w:r>
    </w:p>
    <w:p>
      <w:pPr>
        <w:pStyle w:val="38"/>
        <w:snapToGrid w:val="0"/>
        <w:spacing w:before="72" w:after="72"/>
        <w:jc w:val="both"/>
        <w:rPr>
          <w:sz w:val="20"/>
          <w:szCs w:val="20"/>
          <w:lang w:val="en-US"/>
        </w:rPr>
      </w:pPr>
      <w:r>
        <w:rPr>
          <w:rFonts w:hint="eastAsia"/>
          <w:sz w:val="20"/>
          <w:szCs w:val="20"/>
          <w:lang w:val="en-US"/>
        </w:rPr>
        <w:t>For AI/ML CSI feedback, prioritize NW-side performance monitoring and take UE-side performance monitoring as second priority.</w:t>
      </w:r>
    </w:p>
    <w:p>
      <w:pPr>
        <w:snapToGrid w:val="0"/>
        <w:spacing w:before="72" w:beforeLines="30" w:after="72" w:afterLines="30" w:line="288" w:lineRule="auto"/>
        <w:jc w:val="both"/>
        <w:rPr>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References</w:t>
      </w:r>
    </w:p>
    <w:p>
      <w:pPr>
        <w:pStyle w:val="122"/>
        <w:spacing w:before="72" w:beforeLines="30" w:after="72" w:afterLines="30" w:line="288" w:lineRule="auto"/>
        <w:ind w:left="363" w:hanging="363"/>
        <w:jc w:val="both"/>
        <w:rPr>
          <w:bCs/>
          <w:sz w:val="20"/>
          <w:szCs w:val="20"/>
        </w:rPr>
      </w:pPr>
      <w:r>
        <w:rPr>
          <w:rFonts w:hint="eastAsia"/>
          <w:bCs/>
          <w:sz w:val="20"/>
          <w:szCs w:val="20"/>
        </w:rPr>
        <w:t>RP-251870</w:t>
      </w:r>
      <w:r>
        <w:rPr>
          <w:rFonts w:hint="eastAsia"/>
          <w:bCs/>
          <w:sz w:val="20"/>
          <w:szCs w:val="20"/>
          <w:lang w:val="en-US" w:eastAsia="zh-CN"/>
        </w:rPr>
        <w:t xml:space="preserve">, </w:t>
      </w:r>
      <w:bookmarkStart w:id="2" w:name="_GoBack"/>
      <w:bookmarkEnd w:id="2"/>
      <w:r>
        <w:rPr>
          <w:rFonts w:hint="eastAsia"/>
          <w:bCs/>
          <w:sz w:val="20"/>
          <w:szCs w:val="20"/>
        </w:rPr>
        <w:t>New WI: Artificial Intelligence (AI)/Machine Learning (ML) for NR air interface enhancements, Qualcomm (Moderator), RAN#108.</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t">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876C18FD"/>
    <w:multiLevelType w:val="singleLevel"/>
    <w:tmpl w:val="876C18FD"/>
    <w:lvl w:ilvl="0" w:tentative="0">
      <w:start w:val="1"/>
      <w:numFmt w:val="bullet"/>
      <w:lvlText w:val=""/>
      <w:lvlJc w:val="left"/>
      <w:pPr>
        <w:ind w:left="420" w:hanging="420"/>
      </w:pPr>
      <w:rPr>
        <w:rFonts w:hint="default" w:ascii="Wingdings" w:hAnsi="Wingdings"/>
        <w:sz w:val="13"/>
        <w:szCs w:val="13"/>
      </w:rPr>
    </w:lvl>
  </w:abstractNum>
  <w:abstractNum w:abstractNumId="2">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A87EFD78"/>
    <w:multiLevelType w:val="singleLevel"/>
    <w:tmpl w:val="A87EFD78"/>
    <w:lvl w:ilvl="0" w:tentative="0">
      <w:start w:val="1"/>
      <w:numFmt w:val="bullet"/>
      <w:lvlText w:val=""/>
      <w:lvlJc w:val="left"/>
      <w:pPr>
        <w:ind w:left="420" w:hanging="420"/>
      </w:pPr>
      <w:rPr>
        <w:rFonts w:hint="default" w:ascii="Wingdings" w:hAnsi="Wingdings"/>
      </w:rPr>
    </w:lvl>
  </w:abstractNum>
  <w:abstractNum w:abstractNumId="4">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9">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0">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2">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3">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4">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5">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sz w:val="20"/>
        <w:szCs w:val="2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5"/>
  </w:num>
  <w:num w:numId="2">
    <w:abstractNumId w:val="2"/>
  </w:num>
  <w:num w:numId="3">
    <w:abstractNumId w:val="0"/>
  </w:num>
  <w:num w:numId="4">
    <w:abstractNumId w:val="17"/>
  </w:num>
  <w:num w:numId="5">
    <w:abstractNumId w:val="6"/>
  </w:num>
  <w:num w:numId="6">
    <w:abstractNumId w:val="19"/>
  </w:num>
  <w:num w:numId="7">
    <w:abstractNumId w:val="7"/>
  </w:num>
  <w:num w:numId="8">
    <w:abstractNumId w:val="11"/>
  </w:num>
  <w:num w:numId="9">
    <w:abstractNumId w:val="20"/>
  </w:num>
  <w:num w:numId="10">
    <w:abstractNumId w:val="13"/>
  </w:num>
  <w:num w:numId="11">
    <w:abstractNumId w:val="16"/>
  </w:num>
  <w:num w:numId="12">
    <w:abstractNumId w:val="18"/>
  </w:num>
  <w:num w:numId="13">
    <w:abstractNumId w:val="3"/>
  </w:num>
  <w:num w:numId="14">
    <w:abstractNumId w:val="4"/>
  </w:num>
  <w:num w:numId="15">
    <w:abstractNumId w:val="15"/>
  </w:num>
  <w:num w:numId="16">
    <w:abstractNumId w:val="1"/>
  </w:num>
  <w:num w:numId="17">
    <w:abstractNumId w:val="10"/>
  </w:num>
  <w:num w:numId="18">
    <w:abstractNumId w:val="9"/>
  </w:num>
  <w:num w:numId="19">
    <w:abstractNumId w:val="12"/>
  </w:num>
  <w:num w:numId="20">
    <w:abstractNumId w:val="14"/>
  </w:num>
  <w:num w:numId="21">
    <w:abstractNumId w:val="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02"/>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D7E4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C68"/>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B6A"/>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50"/>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A85"/>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ACD"/>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48A"/>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2829"/>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575A"/>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4A6"/>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21EC"/>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3F7"/>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1F4"/>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02453B"/>
    <w:rsid w:val="02151F95"/>
    <w:rsid w:val="021C66AC"/>
    <w:rsid w:val="022E47B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F7159"/>
    <w:rsid w:val="06D32D7E"/>
    <w:rsid w:val="06E21138"/>
    <w:rsid w:val="06E64C63"/>
    <w:rsid w:val="06F24EF2"/>
    <w:rsid w:val="07054AEE"/>
    <w:rsid w:val="073B2095"/>
    <w:rsid w:val="07470651"/>
    <w:rsid w:val="075815C4"/>
    <w:rsid w:val="077913D7"/>
    <w:rsid w:val="07A3548C"/>
    <w:rsid w:val="07AE7932"/>
    <w:rsid w:val="07B814E5"/>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F135BB"/>
    <w:rsid w:val="0DF13B47"/>
    <w:rsid w:val="0E0A5187"/>
    <w:rsid w:val="0E1113AA"/>
    <w:rsid w:val="0E216ED3"/>
    <w:rsid w:val="0E2F5BA7"/>
    <w:rsid w:val="0E332166"/>
    <w:rsid w:val="0E3917FF"/>
    <w:rsid w:val="0E613656"/>
    <w:rsid w:val="0E72787E"/>
    <w:rsid w:val="0E9B6CE3"/>
    <w:rsid w:val="0E9F5739"/>
    <w:rsid w:val="0EC3008E"/>
    <w:rsid w:val="0EDB339F"/>
    <w:rsid w:val="0F125211"/>
    <w:rsid w:val="0F152A9D"/>
    <w:rsid w:val="0F1E7B0D"/>
    <w:rsid w:val="0F3506C4"/>
    <w:rsid w:val="0F62047F"/>
    <w:rsid w:val="0F6A74D0"/>
    <w:rsid w:val="0F6B41F3"/>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A50C2C"/>
    <w:rsid w:val="14B0700C"/>
    <w:rsid w:val="14C02505"/>
    <w:rsid w:val="14C34089"/>
    <w:rsid w:val="14D67B8F"/>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42103"/>
    <w:rsid w:val="18960812"/>
    <w:rsid w:val="189C7EF6"/>
    <w:rsid w:val="18B04B4D"/>
    <w:rsid w:val="18C46D02"/>
    <w:rsid w:val="18CB264C"/>
    <w:rsid w:val="18E87E12"/>
    <w:rsid w:val="18F5052C"/>
    <w:rsid w:val="191D14D9"/>
    <w:rsid w:val="19693EEF"/>
    <w:rsid w:val="196B5F41"/>
    <w:rsid w:val="198762ED"/>
    <w:rsid w:val="199602F8"/>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15DA9"/>
    <w:rsid w:val="23537C14"/>
    <w:rsid w:val="235A01B7"/>
    <w:rsid w:val="23700EEA"/>
    <w:rsid w:val="238C42D2"/>
    <w:rsid w:val="2393048F"/>
    <w:rsid w:val="239E3C8F"/>
    <w:rsid w:val="23A06B4E"/>
    <w:rsid w:val="23A40CCF"/>
    <w:rsid w:val="24351B4F"/>
    <w:rsid w:val="243C5394"/>
    <w:rsid w:val="244C14E0"/>
    <w:rsid w:val="24576A62"/>
    <w:rsid w:val="246E76BE"/>
    <w:rsid w:val="24762507"/>
    <w:rsid w:val="24763811"/>
    <w:rsid w:val="247A3D65"/>
    <w:rsid w:val="24831FA1"/>
    <w:rsid w:val="24863B93"/>
    <w:rsid w:val="2488275E"/>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BE6749"/>
    <w:rsid w:val="25D43B91"/>
    <w:rsid w:val="25DE0185"/>
    <w:rsid w:val="25E04003"/>
    <w:rsid w:val="25EC78CB"/>
    <w:rsid w:val="25EE6875"/>
    <w:rsid w:val="260828AB"/>
    <w:rsid w:val="260C334C"/>
    <w:rsid w:val="26276BC7"/>
    <w:rsid w:val="26291FD5"/>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F55D09"/>
    <w:rsid w:val="29057EC1"/>
    <w:rsid w:val="290B0C78"/>
    <w:rsid w:val="290E28AF"/>
    <w:rsid w:val="292011C8"/>
    <w:rsid w:val="293757A5"/>
    <w:rsid w:val="293D0E03"/>
    <w:rsid w:val="293F5958"/>
    <w:rsid w:val="294A094A"/>
    <w:rsid w:val="297B01F1"/>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0EF1839"/>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70304C"/>
    <w:rsid w:val="347D6A46"/>
    <w:rsid w:val="3485590E"/>
    <w:rsid w:val="34946C2E"/>
    <w:rsid w:val="34A24AD6"/>
    <w:rsid w:val="34C04708"/>
    <w:rsid w:val="34D46D17"/>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713D76"/>
    <w:rsid w:val="39825EF1"/>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BE3AA4"/>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8A5331"/>
    <w:rsid w:val="3F9529AF"/>
    <w:rsid w:val="3FB1447F"/>
    <w:rsid w:val="3FC35AFC"/>
    <w:rsid w:val="3FCC6B15"/>
    <w:rsid w:val="3FD1414D"/>
    <w:rsid w:val="3FD81218"/>
    <w:rsid w:val="3FDA6239"/>
    <w:rsid w:val="3FDB2D1E"/>
    <w:rsid w:val="3FDB52AA"/>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31092C"/>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60017"/>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980B6D"/>
    <w:rsid w:val="48A7396C"/>
    <w:rsid w:val="48AE01B7"/>
    <w:rsid w:val="48CB69F5"/>
    <w:rsid w:val="48E06989"/>
    <w:rsid w:val="48E92C88"/>
    <w:rsid w:val="48EB1D85"/>
    <w:rsid w:val="4912133B"/>
    <w:rsid w:val="49172E30"/>
    <w:rsid w:val="491F7C68"/>
    <w:rsid w:val="49240D46"/>
    <w:rsid w:val="492F45E9"/>
    <w:rsid w:val="494C141C"/>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4BE4"/>
    <w:rsid w:val="4B925EE1"/>
    <w:rsid w:val="4B9A2375"/>
    <w:rsid w:val="4BA16C4D"/>
    <w:rsid w:val="4BCA5F92"/>
    <w:rsid w:val="4C036229"/>
    <w:rsid w:val="4C1F7A5B"/>
    <w:rsid w:val="4C5E12A7"/>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E5E96"/>
    <w:rsid w:val="4E9634A3"/>
    <w:rsid w:val="4EC458AE"/>
    <w:rsid w:val="4EF614BA"/>
    <w:rsid w:val="4EF62402"/>
    <w:rsid w:val="4EF85882"/>
    <w:rsid w:val="4EF9201E"/>
    <w:rsid w:val="4F1859C5"/>
    <w:rsid w:val="4F35630A"/>
    <w:rsid w:val="4F362E18"/>
    <w:rsid w:val="4F540B41"/>
    <w:rsid w:val="4F547EAA"/>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E8090D"/>
    <w:rsid w:val="562A1609"/>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E4858"/>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E31485"/>
    <w:rsid w:val="5AF56FFD"/>
    <w:rsid w:val="5AF626D8"/>
    <w:rsid w:val="5AF62900"/>
    <w:rsid w:val="5AFC40F3"/>
    <w:rsid w:val="5B0D46E9"/>
    <w:rsid w:val="5B22062D"/>
    <w:rsid w:val="5B2927FC"/>
    <w:rsid w:val="5B2B355B"/>
    <w:rsid w:val="5B3E3090"/>
    <w:rsid w:val="5B6542C5"/>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525D09"/>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D41360"/>
    <w:rsid w:val="5FD9462B"/>
    <w:rsid w:val="5FFB6305"/>
    <w:rsid w:val="60011320"/>
    <w:rsid w:val="603D3B68"/>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81E99"/>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5B2069"/>
    <w:rsid w:val="688432AD"/>
    <w:rsid w:val="6886482A"/>
    <w:rsid w:val="688A1FB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84531"/>
    <w:rsid w:val="75A41E75"/>
    <w:rsid w:val="75C205CF"/>
    <w:rsid w:val="75C43880"/>
    <w:rsid w:val="75CA48E7"/>
    <w:rsid w:val="75E027FD"/>
    <w:rsid w:val="75F72DC0"/>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4428F"/>
    <w:rsid w:val="786F4C48"/>
    <w:rsid w:val="78727815"/>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DF511DA"/>
    <w:rsid w:val="7E0464CE"/>
    <w:rsid w:val="7E202324"/>
    <w:rsid w:val="7E2C2660"/>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spacing w:after="180" w:line="240" w:lineRule="auto"/>
      <w:ind w:left="1418" w:hanging="284"/>
    </w:pPr>
    <w:rPr>
      <w:rFonts w:eastAsia="MS Mincho"/>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AECED-8AFF-43AD-9C2B-39B46D1D229E}">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3772</Words>
  <Characters>21501</Characters>
  <Lines>179</Lines>
  <Paragraphs>50</Paragraphs>
  <TotalTime>0</TotalTime>
  <ScaleCrop>false</ScaleCrop>
  <LinksUpToDate>false</LinksUpToDate>
  <CharactersWithSpaces>25223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2024-02-01T03:26:00Z</dcterms:created>
  <dc:creator>ZTE</dc:creator>
  <cp:lastModifiedBy>10303991</cp:lastModifiedBy>
  <dcterms:modified xsi:type="dcterms:W3CDTF">2025-08-15T02:37:28Z</dcterms:modified>
  <dc:title>3GPP TSG-RAN WG1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